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黑体" w:hAnsi="仿宋_GB2312" w:eastAsia="黑体" w:cs="仿宋_GB2312"/>
          <w:sz w:val="32"/>
          <w:szCs w:val="32"/>
        </w:rPr>
      </w:pPr>
    </w:p>
    <w:p>
      <w:pPr>
        <w:spacing w:line="578" w:lineRule="exact"/>
        <w:jc w:val="center"/>
        <w:rPr>
          <w:rFonts w:hAnsi="宋体"/>
          <w:b/>
          <w:bCs/>
          <w:sz w:val="44"/>
          <w:szCs w:val="44"/>
        </w:rPr>
      </w:pPr>
    </w:p>
    <w:p>
      <w:pPr>
        <w:spacing w:line="578" w:lineRule="exact"/>
        <w:jc w:val="center"/>
        <w:rPr>
          <w:rFonts w:ascii="宋体" w:hAnsi="宋体" w:eastAsia="宋体"/>
          <w:b/>
          <w:bCs/>
          <w:sz w:val="44"/>
          <w:szCs w:val="44"/>
        </w:rPr>
      </w:pPr>
      <w:bookmarkStart w:id="0" w:name="_GoBack"/>
      <w:r>
        <w:rPr>
          <w:rFonts w:hint="eastAsia" w:ascii="宋体" w:hAnsi="宋体" w:eastAsia="宋体"/>
          <w:b/>
          <w:bCs/>
          <w:sz w:val="44"/>
          <w:szCs w:val="44"/>
        </w:rPr>
        <w:t>财政支出项目绩效评价报告</w:t>
      </w:r>
    </w:p>
    <w:bookmarkEnd w:id="0"/>
    <w:p>
      <w:pPr>
        <w:spacing w:line="578" w:lineRule="exact"/>
        <w:rPr>
          <w:szCs w:val="32"/>
        </w:rPr>
      </w:pPr>
    </w:p>
    <w:p>
      <w:pPr>
        <w:spacing w:line="578" w:lineRule="exact"/>
        <w:rPr>
          <w:szCs w:val="32"/>
        </w:rPr>
      </w:pPr>
    </w:p>
    <w:p>
      <w:pPr>
        <w:spacing w:line="578" w:lineRule="exact"/>
        <w:rPr>
          <w:rFonts w:hAnsi="宋体"/>
          <w:szCs w:val="32"/>
        </w:rPr>
      </w:pPr>
    </w:p>
    <w:p>
      <w:pPr>
        <w:spacing w:line="578" w:lineRule="exact"/>
        <w:rPr>
          <w:rFonts w:hAnsi="宋体"/>
          <w:szCs w:val="32"/>
        </w:rPr>
      </w:pPr>
    </w:p>
    <w:p>
      <w:pPr>
        <w:spacing w:line="578" w:lineRule="exact"/>
        <w:rPr>
          <w:rFonts w:ascii="仿宋_GB2312" w:hAnsi="仿宋_GB2312" w:cs="仿宋_GB2312"/>
          <w:sz w:val="32"/>
          <w:szCs w:val="32"/>
          <w:u w:val="single"/>
        </w:rPr>
      </w:pPr>
      <w:r>
        <w:rPr>
          <w:rFonts w:hint="eastAsia" w:ascii="仿宋_GB2312" w:hAnsi="仿宋_GB2312" w:cs="仿宋_GB2312"/>
          <w:sz w:val="32"/>
          <w:szCs w:val="32"/>
        </w:rPr>
        <w:t xml:space="preserve">     评价类型：</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实施过程评价</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完成结果评价</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项目名称：</w:t>
      </w:r>
      <w:r>
        <w:rPr>
          <w:rFonts w:hint="eastAsia" w:ascii="仿宋_GB2312" w:hAnsi="仿宋_GB2312" w:cs="仿宋_GB2312"/>
          <w:sz w:val="32"/>
          <w:szCs w:val="32"/>
          <w:u w:val="single"/>
        </w:rPr>
        <w:t xml:space="preserve">扶贫专项资金                           </w:t>
      </w:r>
    </w:p>
    <w:p>
      <w:pPr>
        <w:spacing w:line="578" w:lineRule="exact"/>
        <w:ind w:left="1600" w:hanging="1600" w:hangingChars="500"/>
        <w:jc w:val="left"/>
        <w:rPr>
          <w:rFonts w:ascii="仿宋_GB2312" w:hAnsi="仿宋_GB2312" w:cs="仿宋_GB2312"/>
          <w:sz w:val="32"/>
          <w:szCs w:val="32"/>
        </w:rPr>
      </w:pPr>
      <w:r>
        <w:rPr>
          <w:rFonts w:hint="eastAsia" w:ascii="仿宋_GB2312" w:hAnsi="仿宋_GB2312" w:cs="仿宋_GB2312"/>
          <w:sz w:val="32"/>
          <w:szCs w:val="32"/>
        </w:rPr>
        <w:t xml:space="preserve">     项目单位：</w:t>
      </w:r>
      <w:r>
        <w:rPr>
          <w:rFonts w:hint="eastAsia" w:ascii="仿宋_GB2312" w:hAnsi="仿宋_GB2312" w:cs="仿宋_GB2312"/>
          <w:sz w:val="32"/>
          <w:szCs w:val="32"/>
          <w:u w:val="single"/>
        </w:rPr>
        <w:t xml:space="preserve">开发资金项目处                        </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主管部门：</w:t>
      </w:r>
      <w:r>
        <w:rPr>
          <w:rFonts w:hint="eastAsia" w:ascii="仿宋_GB2312" w:hAnsi="仿宋_GB2312" w:cs="仿宋_GB2312"/>
          <w:sz w:val="32"/>
          <w:szCs w:val="32"/>
          <w:u w:val="single"/>
        </w:rPr>
        <w:t xml:space="preserve">海南省扶贫工作办公室                                                        </w:t>
      </w:r>
      <w:r>
        <w:rPr>
          <w:rFonts w:hint="eastAsia" w:ascii="仿宋_GB2312" w:hAnsi="仿宋_GB2312" w:cs="仿宋_GB2312"/>
          <w:sz w:val="32"/>
          <w:szCs w:val="32"/>
        </w:rPr>
        <w:t xml:space="preserve">  </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评价时间： </w:t>
      </w:r>
      <w:r>
        <w:rPr>
          <w:rFonts w:hint="eastAsia" w:ascii="仿宋_GB2312" w:hAnsi="仿宋_GB2312" w:cs="仿宋_GB2312"/>
          <w:sz w:val="32"/>
          <w:szCs w:val="32"/>
          <w:u w:val="single"/>
        </w:rPr>
        <w:t xml:space="preserve"> 2019年 1 月1 日至 2019年12月31日</w:t>
      </w:r>
    </w:p>
    <w:p>
      <w:pPr>
        <w:spacing w:line="578" w:lineRule="exact"/>
        <w:ind w:left="1600" w:hanging="1600" w:hangingChars="500"/>
        <w:rPr>
          <w:rFonts w:ascii="仿宋_GB2312" w:hAnsi="仿宋_GB2312" w:cs="仿宋_GB2312"/>
          <w:sz w:val="32"/>
          <w:szCs w:val="32"/>
          <w:u w:val="single"/>
        </w:rPr>
      </w:pPr>
      <w:r>
        <w:rPr>
          <w:rFonts w:hint="eastAsia" w:ascii="仿宋_GB2312" w:hAnsi="仿宋_GB2312" w:cs="仿宋_GB2312"/>
          <w:sz w:val="32"/>
          <w:szCs w:val="32"/>
        </w:rPr>
        <w:t xml:space="preserve">     组织方式：</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 xml:space="preserve">财政部门 </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主管部门</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项目单位</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评价机构：</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 xml:space="preserve">中介机构 </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 xml:space="preserve">专家组 </w:t>
      </w:r>
      <w:r>
        <w:rPr>
          <w:rFonts w:hint="eastAsia" w:ascii="仿宋_GB2312" w:hAnsi="仿宋_GB2312" w:cs="仿宋_GB2312"/>
          <w:sz w:val="32"/>
          <w:szCs w:val="32"/>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项目单位评价组</w:t>
      </w:r>
    </w:p>
    <w:p>
      <w:pPr>
        <w:spacing w:line="578" w:lineRule="exact"/>
        <w:ind w:left="1600" w:hanging="1600" w:hangingChars="500"/>
        <w:rPr>
          <w:rFonts w:ascii="仿宋_GB2312" w:hAnsi="仿宋_GB2312" w:cs="仿宋_GB2312"/>
          <w:sz w:val="32"/>
          <w:szCs w:val="32"/>
        </w:rPr>
      </w:pPr>
    </w:p>
    <w:p>
      <w:pPr>
        <w:spacing w:line="578" w:lineRule="exact"/>
        <w:rPr>
          <w:rFonts w:ascii="仿宋_GB2312" w:hAnsi="仿宋_GB2312" w:cs="仿宋_GB2312"/>
          <w:sz w:val="32"/>
          <w:szCs w:val="32"/>
        </w:rPr>
      </w:pPr>
    </w:p>
    <w:p>
      <w:pPr>
        <w:spacing w:line="578" w:lineRule="exact"/>
        <w:rPr>
          <w:rFonts w:ascii="仿宋_GB2312" w:hAnsi="仿宋_GB2312" w:cs="仿宋_GB2312"/>
          <w:sz w:val="32"/>
          <w:szCs w:val="32"/>
        </w:rPr>
      </w:pP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w:t>
      </w: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评价单位（盖章）：</w:t>
      </w:r>
    </w:p>
    <w:p>
      <w:pPr>
        <w:spacing w:line="578" w:lineRule="exact"/>
        <w:ind w:left="1600" w:hanging="1600" w:hangingChars="500"/>
        <w:rPr>
          <w:rFonts w:ascii="仿宋_GB2312" w:hAnsi="仿宋_GB2312" w:cs="仿宋_GB2312"/>
          <w:sz w:val="32"/>
          <w:szCs w:val="32"/>
        </w:rPr>
      </w:pPr>
    </w:p>
    <w:p>
      <w:pPr>
        <w:spacing w:line="578" w:lineRule="exact"/>
        <w:ind w:left="1600" w:hanging="1600" w:hangingChars="500"/>
        <w:rPr>
          <w:rFonts w:ascii="仿宋_GB2312" w:hAnsi="仿宋_GB2312" w:cs="仿宋_GB2312"/>
          <w:sz w:val="32"/>
          <w:szCs w:val="32"/>
        </w:rPr>
      </w:pPr>
      <w:r>
        <w:rPr>
          <w:rFonts w:hint="eastAsia" w:ascii="仿宋_GB2312" w:hAnsi="仿宋_GB2312" w:cs="仿宋_GB2312"/>
          <w:sz w:val="32"/>
          <w:szCs w:val="32"/>
        </w:rPr>
        <w:t xml:space="preserve">                    上报时间：2020年5月29日</w:t>
      </w:r>
    </w:p>
    <w:p>
      <w:pPr>
        <w:tabs>
          <w:tab w:val="left" w:pos="720"/>
          <w:tab w:val="left" w:pos="3600"/>
        </w:tabs>
        <w:spacing w:line="578" w:lineRule="exact"/>
        <w:jc w:val="left"/>
        <w:rPr>
          <w:rFonts w:hAnsi="仿宋" w:cs="仿宋"/>
          <w:szCs w:val="32"/>
        </w:rPr>
      </w:pPr>
    </w:p>
    <w:p>
      <w:pPr>
        <w:pStyle w:val="7"/>
        <w:spacing w:line="578" w:lineRule="exact"/>
        <w:ind w:firstLine="0" w:firstLineChars="0"/>
        <w:jc w:val="center"/>
        <w:rPr>
          <w:rFonts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ascii="宋体" w:hAnsi="宋体" w:eastAsia="宋体"/>
          <w:b/>
          <w:bCs/>
          <w:sz w:val="24"/>
        </w:rPr>
      </w:pPr>
      <w:r>
        <w:rPr>
          <w:rFonts w:hint="eastAsia" w:ascii="宋体" w:hAnsi="宋体" w:eastAsia="宋体"/>
          <w:b/>
          <w:bCs/>
          <w:sz w:val="24"/>
        </w:rPr>
        <w:t>项目名称：扶贫专项资金</w:t>
      </w:r>
    </w:p>
    <w:tbl>
      <w:tblPr>
        <w:tblStyle w:val="5"/>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07"/>
        <w:gridCol w:w="2030"/>
        <w:gridCol w:w="1187"/>
        <w:gridCol w:w="1267"/>
        <w:gridCol w:w="1253"/>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25" w:type="dxa"/>
            <w:vMerge w:val="restart"/>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指标类型</w:t>
            </w:r>
          </w:p>
        </w:tc>
        <w:tc>
          <w:tcPr>
            <w:tcW w:w="1307" w:type="dxa"/>
            <w:vMerge w:val="restart"/>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指标名称</w:t>
            </w:r>
          </w:p>
        </w:tc>
        <w:tc>
          <w:tcPr>
            <w:tcW w:w="2030" w:type="dxa"/>
            <w:vMerge w:val="restart"/>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绩效目标</w:t>
            </w:r>
          </w:p>
        </w:tc>
        <w:tc>
          <w:tcPr>
            <w:tcW w:w="5060" w:type="dxa"/>
            <w:gridSpan w:val="4"/>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25" w:type="dxa"/>
            <w:vMerge w:val="continue"/>
          </w:tcPr>
          <w:p>
            <w:pPr>
              <w:tabs>
                <w:tab w:val="left" w:pos="720"/>
                <w:tab w:val="left" w:pos="3600"/>
              </w:tabs>
              <w:spacing w:line="578" w:lineRule="exact"/>
              <w:jc w:val="center"/>
              <w:rPr>
                <w:rFonts w:ascii="宋体" w:hAnsi="宋体" w:eastAsia="宋体"/>
                <w:b/>
                <w:sz w:val="24"/>
              </w:rPr>
            </w:pPr>
          </w:p>
        </w:tc>
        <w:tc>
          <w:tcPr>
            <w:tcW w:w="1307" w:type="dxa"/>
            <w:vMerge w:val="continue"/>
          </w:tcPr>
          <w:p>
            <w:pPr>
              <w:tabs>
                <w:tab w:val="left" w:pos="720"/>
                <w:tab w:val="left" w:pos="3600"/>
              </w:tabs>
              <w:spacing w:line="578" w:lineRule="exact"/>
              <w:jc w:val="center"/>
              <w:rPr>
                <w:rFonts w:ascii="宋体" w:hAnsi="宋体" w:eastAsia="宋体"/>
                <w:b/>
                <w:sz w:val="24"/>
              </w:rPr>
            </w:pPr>
          </w:p>
        </w:tc>
        <w:tc>
          <w:tcPr>
            <w:tcW w:w="2030" w:type="dxa"/>
            <w:vMerge w:val="continue"/>
          </w:tcPr>
          <w:p>
            <w:pPr>
              <w:tabs>
                <w:tab w:val="left" w:pos="720"/>
                <w:tab w:val="left" w:pos="3600"/>
              </w:tabs>
              <w:spacing w:line="578" w:lineRule="exact"/>
              <w:jc w:val="center"/>
              <w:rPr>
                <w:rFonts w:ascii="宋体" w:hAnsi="宋体" w:eastAsia="宋体"/>
                <w:b/>
                <w:sz w:val="24"/>
              </w:rPr>
            </w:pPr>
          </w:p>
        </w:tc>
        <w:tc>
          <w:tcPr>
            <w:tcW w:w="1187" w:type="dxa"/>
            <w:vAlign w:val="center"/>
          </w:tcPr>
          <w:p>
            <w:pPr>
              <w:tabs>
                <w:tab w:val="left" w:pos="720"/>
                <w:tab w:val="left" w:pos="3600"/>
              </w:tabs>
              <w:spacing w:line="578" w:lineRule="exact"/>
              <w:ind w:firstLine="361" w:firstLineChars="150"/>
              <w:rPr>
                <w:rFonts w:ascii="宋体" w:hAnsi="宋体" w:eastAsia="宋体"/>
                <w:b/>
                <w:sz w:val="24"/>
              </w:rPr>
            </w:pPr>
            <w:r>
              <w:rPr>
                <w:rFonts w:hint="eastAsia" w:ascii="宋体" w:hAnsi="宋体" w:eastAsia="宋体"/>
                <w:b/>
                <w:sz w:val="24"/>
              </w:rPr>
              <w:t>优</w:t>
            </w:r>
          </w:p>
        </w:tc>
        <w:tc>
          <w:tcPr>
            <w:tcW w:w="1267" w:type="dxa"/>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良</w:t>
            </w:r>
          </w:p>
        </w:tc>
        <w:tc>
          <w:tcPr>
            <w:tcW w:w="1253" w:type="dxa"/>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中</w:t>
            </w:r>
          </w:p>
        </w:tc>
        <w:tc>
          <w:tcPr>
            <w:tcW w:w="1353" w:type="dxa"/>
            <w:vAlign w:val="center"/>
          </w:tcPr>
          <w:p>
            <w:pPr>
              <w:tabs>
                <w:tab w:val="left" w:pos="720"/>
                <w:tab w:val="left" w:pos="3600"/>
              </w:tabs>
              <w:spacing w:line="578" w:lineRule="exact"/>
              <w:jc w:val="center"/>
              <w:rPr>
                <w:rFonts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825" w:type="dxa"/>
            <w:vAlign w:val="center"/>
          </w:tcPr>
          <w:p>
            <w:pPr>
              <w:tabs>
                <w:tab w:val="left" w:pos="720"/>
                <w:tab w:val="left" w:pos="3600"/>
              </w:tabs>
              <w:spacing w:line="578" w:lineRule="exact"/>
              <w:jc w:val="center"/>
              <w:rPr>
                <w:rFonts w:ascii="宋体" w:hAnsi="宋体" w:eastAsia="宋体"/>
                <w:sz w:val="24"/>
              </w:rPr>
            </w:pPr>
            <w:r>
              <w:rPr>
                <w:rFonts w:hint="eastAsia" w:ascii="宋体" w:hAnsi="宋体" w:eastAsia="宋体"/>
                <w:sz w:val="24"/>
              </w:rPr>
              <w:t>产出指标</w:t>
            </w:r>
          </w:p>
        </w:tc>
        <w:tc>
          <w:tcPr>
            <w:tcW w:w="1307" w:type="dxa"/>
            <w:vAlign w:val="center"/>
          </w:tcPr>
          <w:p>
            <w:pPr>
              <w:autoSpaceDN w:val="0"/>
              <w:spacing w:line="240" w:lineRule="exact"/>
              <w:jc w:val="center"/>
              <w:textAlignment w:val="center"/>
              <w:rPr>
                <w:rFonts w:ascii="宋体" w:hAnsi="宋体" w:eastAsia="宋体"/>
                <w:color w:val="000000"/>
                <w:sz w:val="20"/>
              </w:rPr>
            </w:pPr>
            <w:r>
              <w:rPr>
                <w:rFonts w:hint="eastAsia" w:ascii="宋体" w:hAnsi="宋体" w:eastAsia="宋体"/>
                <w:color w:val="000000"/>
                <w:sz w:val="20"/>
              </w:rPr>
              <w:t>全省脱贫人口数量</w:t>
            </w:r>
          </w:p>
        </w:tc>
        <w:tc>
          <w:tcPr>
            <w:tcW w:w="2030" w:type="dxa"/>
            <w:vAlign w:val="center"/>
          </w:tcPr>
          <w:p>
            <w:pPr>
              <w:autoSpaceDN w:val="0"/>
              <w:spacing w:line="240" w:lineRule="exact"/>
              <w:jc w:val="center"/>
              <w:textAlignment w:val="center"/>
              <w:rPr>
                <w:rFonts w:ascii="宋体" w:hAnsi="宋体" w:eastAsia="宋体"/>
                <w:color w:val="000000"/>
                <w:sz w:val="20"/>
              </w:rPr>
            </w:pPr>
            <w:r>
              <w:rPr>
                <w:rFonts w:hint="eastAsia" w:ascii="宋体" w:hAnsi="宋体" w:eastAsia="宋体"/>
                <w:color w:val="000000"/>
                <w:sz w:val="20"/>
              </w:rPr>
              <w:t>全省脱贫人口数量4.5万人</w:t>
            </w:r>
          </w:p>
        </w:tc>
        <w:tc>
          <w:tcPr>
            <w:tcW w:w="1187" w:type="dxa"/>
            <w:vAlign w:val="center"/>
          </w:tcPr>
          <w:p>
            <w:pPr>
              <w:jc w:val="center"/>
            </w:pPr>
            <w:r>
              <w:rPr>
                <w:rFonts w:hint="eastAsia" w:ascii="宋体" w:hAnsi="宋体" w:eastAsia="宋体"/>
                <w:color w:val="000000"/>
                <w:sz w:val="20"/>
              </w:rPr>
              <w:t>全省脱贫人口数量4.5万元人以上</w:t>
            </w:r>
          </w:p>
        </w:tc>
        <w:tc>
          <w:tcPr>
            <w:tcW w:w="1267" w:type="dxa"/>
            <w:vAlign w:val="center"/>
          </w:tcPr>
          <w:p>
            <w:pPr>
              <w:jc w:val="center"/>
            </w:pPr>
            <w:r>
              <w:rPr>
                <w:rFonts w:hint="eastAsia" w:ascii="宋体" w:hAnsi="宋体" w:eastAsia="宋体"/>
                <w:color w:val="000000"/>
                <w:sz w:val="20"/>
              </w:rPr>
              <w:t>全省脱贫人口数量4-4.5万人</w:t>
            </w:r>
          </w:p>
        </w:tc>
        <w:tc>
          <w:tcPr>
            <w:tcW w:w="1253" w:type="dxa"/>
            <w:vAlign w:val="center"/>
          </w:tcPr>
          <w:p>
            <w:pPr>
              <w:jc w:val="center"/>
            </w:pPr>
            <w:r>
              <w:rPr>
                <w:rFonts w:hint="eastAsia" w:ascii="宋体" w:hAnsi="宋体" w:eastAsia="宋体"/>
                <w:color w:val="000000"/>
                <w:sz w:val="20"/>
              </w:rPr>
              <w:t>全省脱贫人口数量3.8-4万人</w:t>
            </w:r>
          </w:p>
        </w:tc>
        <w:tc>
          <w:tcPr>
            <w:tcW w:w="1353" w:type="dxa"/>
            <w:vAlign w:val="center"/>
          </w:tcPr>
          <w:p>
            <w:pPr>
              <w:jc w:val="center"/>
            </w:pPr>
            <w:r>
              <w:rPr>
                <w:rFonts w:hint="eastAsia" w:ascii="宋体" w:hAnsi="宋体" w:eastAsia="宋体"/>
                <w:color w:val="000000"/>
                <w:sz w:val="20"/>
              </w:rPr>
              <w:t>全省脱贫人口数量3.8万人以下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825" w:type="dxa"/>
            <w:vAlign w:val="center"/>
          </w:tcPr>
          <w:p>
            <w:pPr>
              <w:tabs>
                <w:tab w:val="left" w:pos="720"/>
                <w:tab w:val="left" w:pos="3600"/>
              </w:tabs>
              <w:spacing w:line="578" w:lineRule="exact"/>
              <w:jc w:val="center"/>
              <w:rPr>
                <w:rFonts w:ascii="宋体" w:hAnsi="宋体" w:eastAsia="宋体"/>
                <w:sz w:val="24"/>
              </w:rPr>
            </w:pPr>
            <w:r>
              <w:rPr>
                <w:rFonts w:hint="eastAsia" w:ascii="宋体" w:hAnsi="宋体" w:eastAsia="宋体"/>
                <w:sz w:val="24"/>
              </w:rPr>
              <w:t>效益指标</w:t>
            </w:r>
          </w:p>
        </w:tc>
        <w:tc>
          <w:tcPr>
            <w:tcW w:w="1307" w:type="dxa"/>
            <w:vAlign w:val="center"/>
          </w:tcPr>
          <w:p>
            <w:pPr>
              <w:autoSpaceDN w:val="0"/>
              <w:spacing w:line="240" w:lineRule="exact"/>
              <w:jc w:val="center"/>
              <w:textAlignment w:val="center"/>
              <w:rPr>
                <w:rFonts w:ascii="宋体" w:hAnsi="宋体" w:eastAsia="宋体"/>
                <w:color w:val="000000"/>
                <w:sz w:val="20"/>
              </w:rPr>
            </w:pPr>
            <w:r>
              <w:rPr>
                <w:rFonts w:hint="eastAsia" w:ascii="宋体" w:hAnsi="宋体" w:eastAsia="宋体"/>
                <w:color w:val="000000"/>
                <w:sz w:val="20"/>
              </w:rPr>
              <w:t>全省贫困人口脱贫率</w:t>
            </w:r>
          </w:p>
        </w:tc>
        <w:tc>
          <w:tcPr>
            <w:tcW w:w="2030" w:type="dxa"/>
            <w:vAlign w:val="center"/>
          </w:tcPr>
          <w:p>
            <w:pPr>
              <w:spacing w:line="240" w:lineRule="exact"/>
              <w:ind w:left="-108" w:leftChars="-36" w:firstLine="100" w:firstLineChars="50"/>
              <w:rPr>
                <w:rFonts w:ascii="宋体" w:hAnsi="宋体" w:eastAsia="宋体"/>
                <w:color w:val="000000"/>
                <w:sz w:val="20"/>
              </w:rPr>
            </w:pPr>
            <w:r>
              <w:rPr>
                <w:rFonts w:hint="eastAsia" w:ascii="宋体" w:hAnsi="宋体" w:eastAsia="宋体"/>
                <w:color w:val="000000"/>
                <w:sz w:val="20"/>
              </w:rPr>
              <w:t>争取全省贫困人口脱贫率达100%</w:t>
            </w:r>
          </w:p>
        </w:tc>
        <w:tc>
          <w:tcPr>
            <w:tcW w:w="1187" w:type="dxa"/>
          </w:tcPr>
          <w:p>
            <w:pPr>
              <w:rPr>
                <w:rFonts w:ascii="宋体" w:hAnsi="宋体" w:eastAsia="宋体"/>
                <w:color w:val="000000"/>
                <w:sz w:val="20"/>
              </w:rPr>
            </w:pPr>
          </w:p>
          <w:p>
            <w:r>
              <w:rPr>
                <w:rFonts w:hint="eastAsia" w:ascii="宋体" w:hAnsi="宋体" w:eastAsia="宋体"/>
                <w:color w:val="000000"/>
                <w:sz w:val="20"/>
              </w:rPr>
              <w:t>全省贫困人口脱贫率达100%</w:t>
            </w:r>
          </w:p>
        </w:tc>
        <w:tc>
          <w:tcPr>
            <w:tcW w:w="1267" w:type="dxa"/>
          </w:tcPr>
          <w:p>
            <w:pPr>
              <w:rPr>
                <w:rFonts w:ascii="宋体" w:hAnsi="宋体" w:eastAsia="宋体"/>
                <w:color w:val="000000"/>
                <w:sz w:val="20"/>
              </w:rPr>
            </w:pPr>
          </w:p>
          <w:p>
            <w:r>
              <w:rPr>
                <w:rFonts w:hint="eastAsia" w:ascii="宋体" w:hAnsi="宋体" w:eastAsia="宋体"/>
                <w:color w:val="000000"/>
                <w:sz w:val="20"/>
              </w:rPr>
              <w:t>全省贫困人口脱贫率达95%以上</w:t>
            </w:r>
          </w:p>
        </w:tc>
        <w:tc>
          <w:tcPr>
            <w:tcW w:w="1253" w:type="dxa"/>
          </w:tcPr>
          <w:p>
            <w:pPr>
              <w:rPr>
                <w:rFonts w:ascii="宋体" w:hAnsi="宋体" w:eastAsia="宋体"/>
                <w:color w:val="000000"/>
                <w:sz w:val="20"/>
              </w:rPr>
            </w:pPr>
          </w:p>
          <w:p>
            <w:r>
              <w:rPr>
                <w:rFonts w:hint="eastAsia" w:ascii="宋体" w:hAnsi="宋体" w:eastAsia="宋体"/>
                <w:color w:val="000000"/>
                <w:sz w:val="20"/>
              </w:rPr>
              <w:t>全省贫困人口脱贫率达90%-95%</w:t>
            </w:r>
          </w:p>
        </w:tc>
        <w:tc>
          <w:tcPr>
            <w:tcW w:w="1353" w:type="dxa"/>
          </w:tcPr>
          <w:p>
            <w:pPr>
              <w:rPr>
                <w:rFonts w:ascii="宋体" w:hAnsi="宋体" w:eastAsia="宋体"/>
                <w:color w:val="000000"/>
                <w:sz w:val="20"/>
              </w:rPr>
            </w:pPr>
          </w:p>
          <w:p>
            <w:r>
              <w:rPr>
                <w:rFonts w:hint="eastAsia" w:ascii="宋体" w:hAnsi="宋体" w:eastAsia="宋体"/>
                <w:color w:val="000000"/>
                <w:sz w:val="20"/>
              </w:rPr>
              <w:t>全省贫困人口脱贫率达90%以下</w:t>
            </w:r>
          </w:p>
        </w:tc>
      </w:tr>
    </w:tbl>
    <w:p>
      <w:pPr>
        <w:pStyle w:val="7"/>
        <w:spacing w:line="578" w:lineRule="exact"/>
        <w:ind w:left="960" w:hanging="960" w:hangingChars="400"/>
        <w:jc w:val="left"/>
        <w:rPr>
          <w:rFonts w:ascii="宋体" w:hAnsi="宋体"/>
          <w:sz w:val="24"/>
          <w:szCs w:val="24"/>
        </w:rPr>
      </w:pPr>
      <w:r>
        <w:rPr>
          <w:rFonts w:hint="eastAsia" w:ascii="宋体" w:hAnsi="宋体"/>
          <w:sz w:val="24"/>
          <w:szCs w:val="24"/>
        </w:rPr>
        <w:t xml:space="preserve">    注：以预算批复的绩效目标为准填列。</w:t>
      </w: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hAnsi="宋体"/>
          <w:sz w:val="28"/>
          <w:szCs w:val="28"/>
        </w:rPr>
      </w:pPr>
    </w:p>
    <w:p>
      <w:pPr>
        <w:spacing w:line="578" w:lineRule="exact"/>
        <w:rPr>
          <w:rFonts w:ascii="宋体" w:hAnsi="宋体" w:eastAsia="宋体"/>
          <w:b/>
          <w:sz w:val="44"/>
          <w:szCs w:val="44"/>
        </w:rPr>
      </w:pPr>
    </w:p>
    <w:p>
      <w:pPr>
        <w:spacing w:line="578" w:lineRule="exact"/>
        <w:jc w:val="center"/>
        <w:rPr>
          <w:rFonts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Ansi="宋体"/>
          <w:b/>
          <w:sz w:val="44"/>
          <w:szCs w:val="44"/>
        </w:rPr>
      </w:pPr>
    </w:p>
    <w:tbl>
      <w:tblPr>
        <w:tblStyle w:val="5"/>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03"/>
        <w:gridCol w:w="226"/>
        <w:gridCol w:w="277"/>
        <w:gridCol w:w="425"/>
        <w:gridCol w:w="504"/>
        <w:gridCol w:w="1469"/>
        <w:gridCol w:w="75"/>
        <w:gridCol w:w="135"/>
        <w:gridCol w:w="514"/>
        <w:gridCol w:w="945"/>
        <w:gridCol w:w="525"/>
        <w:gridCol w:w="574"/>
        <w:gridCol w:w="548"/>
        <w:gridCol w:w="453"/>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9030" w:type="dxa"/>
            <w:gridSpan w:val="15"/>
            <w:vAlign w:val="center"/>
          </w:tcPr>
          <w:p>
            <w:pPr>
              <w:spacing w:line="300" w:lineRule="exact"/>
              <w:rPr>
                <w:rFonts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项目实施单位</w:t>
            </w:r>
          </w:p>
        </w:tc>
        <w:tc>
          <w:tcPr>
            <w:tcW w:w="2608"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开发资金项目处</w:t>
            </w:r>
          </w:p>
        </w:tc>
        <w:tc>
          <w:tcPr>
            <w:tcW w:w="1984"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主管部门</w:t>
            </w:r>
          </w:p>
        </w:tc>
        <w:tc>
          <w:tcPr>
            <w:tcW w:w="2532"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海南省扶贫工作办公室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项目负责人</w:t>
            </w:r>
          </w:p>
        </w:tc>
        <w:tc>
          <w:tcPr>
            <w:tcW w:w="2608"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黄新</w:t>
            </w:r>
          </w:p>
        </w:tc>
        <w:tc>
          <w:tcPr>
            <w:tcW w:w="1984"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联系电话</w:t>
            </w:r>
          </w:p>
        </w:tc>
        <w:tc>
          <w:tcPr>
            <w:tcW w:w="2532"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65325023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地址</w:t>
            </w:r>
          </w:p>
        </w:tc>
        <w:tc>
          <w:tcPr>
            <w:tcW w:w="4592" w:type="dxa"/>
            <w:gridSpan w:val="8"/>
            <w:vAlign w:val="center"/>
          </w:tcPr>
          <w:p>
            <w:pPr>
              <w:spacing w:line="300" w:lineRule="exact"/>
              <w:jc w:val="center"/>
              <w:rPr>
                <w:rFonts w:ascii="宋体" w:hAnsi="宋体" w:eastAsia="宋体"/>
                <w:sz w:val="21"/>
                <w:szCs w:val="21"/>
              </w:rPr>
            </w:pPr>
            <w:r>
              <w:rPr>
                <w:rFonts w:hint="eastAsia" w:ascii="宋体" w:hAnsi="宋体" w:eastAsia="宋体"/>
                <w:sz w:val="21"/>
                <w:szCs w:val="21"/>
              </w:rPr>
              <w:t>海南省海口市海府路59号</w:t>
            </w:r>
          </w:p>
        </w:tc>
        <w:tc>
          <w:tcPr>
            <w:tcW w:w="1122"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邮编</w:t>
            </w:r>
          </w:p>
        </w:tc>
        <w:tc>
          <w:tcPr>
            <w:tcW w:w="1410"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570204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项目类型</w:t>
            </w:r>
          </w:p>
        </w:tc>
        <w:tc>
          <w:tcPr>
            <w:tcW w:w="7124" w:type="dxa"/>
            <w:gridSpan w:val="12"/>
            <w:vAlign w:val="center"/>
          </w:tcPr>
          <w:p>
            <w:pPr>
              <w:spacing w:line="300" w:lineRule="exact"/>
              <w:jc w:val="center"/>
              <w:rPr>
                <w:rFonts w:ascii="宋体" w:hAnsi="宋体" w:eastAsia="宋体"/>
                <w:sz w:val="21"/>
                <w:szCs w:val="21"/>
              </w:rPr>
            </w:pPr>
            <w:r>
              <w:rPr>
                <w:rFonts w:hint="eastAsia" w:ascii="宋体" w:hAnsi="宋体" w:eastAsia="宋体"/>
                <w:sz w:val="21"/>
                <w:szCs w:val="21"/>
              </w:rPr>
              <w:t>经常性项目（√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rPr>
                <w:rFonts w:ascii="宋体" w:hAnsi="宋体" w:eastAsia="宋体"/>
                <w:sz w:val="21"/>
                <w:szCs w:val="21"/>
              </w:rPr>
            </w:pPr>
            <w:r>
              <w:rPr>
                <w:rFonts w:hint="eastAsia" w:ascii="宋体" w:hAnsi="宋体" w:eastAsia="宋体"/>
                <w:sz w:val="21"/>
                <w:szCs w:val="21"/>
              </w:rPr>
              <w:t>计划投资额（万元）</w:t>
            </w:r>
          </w:p>
        </w:tc>
        <w:tc>
          <w:tcPr>
            <w:tcW w:w="9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108100</w:t>
            </w:r>
          </w:p>
        </w:tc>
        <w:tc>
          <w:tcPr>
            <w:tcW w:w="2193" w:type="dxa"/>
            <w:gridSpan w:val="4"/>
            <w:vAlign w:val="center"/>
          </w:tcPr>
          <w:p>
            <w:pPr>
              <w:spacing w:line="300" w:lineRule="exact"/>
              <w:rPr>
                <w:rFonts w:ascii="宋体" w:hAnsi="宋体" w:eastAsia="宋体"/>
                <w:sz w:val="21"/>
                <w:szCs w:val="21"/>
              </w:rPr>
            </w:pPr>
            <w:r>
              <w:rPr>
                <w:rFonts w:hint="eastAsia" w:ascii="宋体" w:hAnsi="宋体" w:eastAsia="宋体"/>
                <w:sz w:val="21"/>
                <w:szCs w:val="21"/>
              </w:rPr>
              <w:t>实际到位资金（万元）</w:t>
            </w:r>
          </w:p>
        </w:tc>
        <w:tc>
          <w:tcPr>
            <w:tcW w:w="945" w:type="dxa"/>
            <w:vAlign w:val="center"/>
          </w:tcPr>
          <w:p>
            <w:pPr>
              <w:spacing w:line="300" w:lineRule="exact"/>
              <w:jc w:val="center"/>
              <w:rPr>
                <w:rFonts w:ascii="宋体" w:hAnsi="宋体" w:eastAsia="宋体"/>
                <w:sz w:val="21"/>
                <w:szCs w:val="21"/>
              </w:rPr>
            </w:pPr>
            <w:r>
              <w:rPr>
                <w:rFonts w:hint="eastAsia" w:ascii="宋体" w:hAnsi="宋体" w:eastAsia="宋体"/>
                <w:sz w:val="21"/>
                <w:szCs w:val="21"/>
              </w:rPr>
              <w:t>108100</w:t>
            </w:r>
          </w:p>
        </w:tc>
        <w:tc>
          <w:tcPr>
            <w:tcW w:w="2100" w:type="dxa"/>
            <w:gridSpan w:val="4"/>
            <w:vAlign w:val="center"/>
          </w:tcPr>
          <w:p>
            <w:pPr>
              <w:spacing w:line="300" w:lineRule="exact"/>
              <w:rPr>
                <w:rFonts w:ascii="宋体" w:hAnsi="宋体" w:eastAsia="宋体"/>
                <w:sz w:val="21"/>
                <w:szCs w:val="21"/>
              </w:rPr>
            </w:pPr>
            <w:r>
              <w:rPr>
                <w:rFonts w:hint="eastAsia" w:ascii="宋体" w:hAnsi="宋体" w:eastAsia="宋体"/>
                <w:sz w:val="21"/>
                <w:szCs w:val="21"/>
              </w:rPr>
              <w:t>实际使用情况（万元）</w:t>
            </w:r>
          </w:p>
        </w:tc>
        <w:tc>
          <w:tcPr>
            <w:tcW w:w="957" w:type="dxa"/>
            <w:vAlign w:val="center"/>
          </w:tcPr>
          <w:p>
            <w:pPr>
              <w:spacing w:line="300" w:lineRule="exact"/>
              <w:jc w:val="center"/>
              <w:rPr>
                <w:rFonts w:ascii="宋体" w:hAnsi="宋体" w:eastAsia="宋体"/>
                <w:sz w:val="21"/>
                <w:szCs w:val="21"/>
              </w:rPr>
            </w:pPr>
            <w:r>
              <w:rPr>
                <w:rFonts w:hint="eastAsia" w:ascii="宋体" w:hAnsi="宋体" w:eastAsia="宋体"/>
                <w:sz w:val="21"/>
                <w:szCs w:val="21"/>
              </w:rPr>
              <w:t>108100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其中：中央财政</w:t>
            </w:r>
          </w:p>
        </w:tc>
        <w:tc>
          <w:tcPr>
            <w:tcW w:w="929" w:type="dxa"/>
            <w:gridSpan w:val="2"/>
            <w:vAlign w:val="center"/>
          </w:tcPr>
          <w:p>
            <w:pPr>
              <w:spacing w:line="300" w:lineRule="exact"/>
              <w:jc w:val="center"/>
              <w:rPr>
                <w:rFonts w:ascii="宋体" w:hAnsi="宋体" w:eastAsia="宋体"/>
                <w:sz w:val="21"/>
                <w:szCs w:val="21"/>
              </w:rPr>
            </w:pPr>
          </w:p>
        </w:tc>
        <w:tc>
          <w:tcPr>
            <w:tcW w:w="2193"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其中：中央财政</w:t>
            </w:r>
          </w:p>
        </w:tc>
        <w:tc>
          <w:tcPr>
            <w:tcW w:w="945" w:type="dxa"/>
            <w:vAlign w:val="center"/>
          </w:tcPr>
          <w:p>
            <w:pPr>
              <w:spacing w:line="300" w:lineRule="exact"/>
              <w:jc w:val="center"/>
              <w:rPr>
                <w:rFonts w:ascii="宋体" w:hAnsi="宋体" w:eastAsia="宋体"/>
                <w:sz w:val="21"/>
                <w:szCs w:val="21"/>
              </w:rPr>
            </w:pPr>
          </w:p>
        </w:tc>
        <w:tc>
          <w:tcPr>
            <w:tcW w:w="2100" w:type="dxa"/>
            <w:gridSpan w:val="4"/>
            <w:vAlign w:val="center"/>
          </w:tcPr>
          <w:p>
            <w:pPr>
              <w:spacing w:line="300" w:lineRule="exact"/>
              <w:jc w:val="center"/>
              <w:rPr>
                <w:rFonts w:ascii="宋体" w:hAnsi="宋体" w:eastAsia="宋体"/>
                <w:sz w:val="21"/>
                <w:szCs w:val="21"/>
              </w:rPr>
            </w:pPr>
          </w:p>
        </w:tc>
        <w:tc>
          <w:tcPr>
            <w:tcW w:w="957" w:type="dxa"/>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省财政</w:t>
            </w:r>
          </w:p>
        </w:tc>
        <w:tc>
          <w:tcPr>
            <w:tcW w:w="9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108100</w:t>
            </w:r>
          </w:p>
        </w:tc>
        <w:tc>
          <w:tcPr>
            <w:tcW w:w="2193"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省财政</w:t>
            </w:r>
          </w:p>
        </w:tc>
        <w:tc>
          <w:tcPr>
            <w:tcW w:w="945" w:type="dxa"/>
            <w:vAlign w:val="center"/>
          </w:tcPr>
          <w:p>
            <w:pPr>
              <w:spacing w:line="300" w:lineRule="exact"/>
              <w:jc w:val="center"/>
              <w:rPr>
                <w:rFonts w:ascii="宋体" w:hAnsi="宋体" w:eastAsia="宋体"/>
                <w:sz w:val="21"/>
                <w:szCs w:val="21"/>
              </w:rPr>
            </w:pPr>
            <w:r>
              <w:rPr>
                <w:rFonts w:hint="eastAsia" w:ascii="宋体" w:hAnsi="宋体" w:eastAsia="宋体"/>
                <w:sz w:val="21"/>
                <w:szCs w:val="21"/>
              </w:rPr>
              <w:t>108100</w:t>
            </w:r>
          </w:p>
        </w:tc>
        <w:tc>
          <w:tcPr>
            <w:tcW w:w="2100" w:type="dxa"/>
            <w:gridSpan w:val="4"/>
            <w:vAlign w:val="center"/>
          </w:tcPr>
          <w:p>
            <w:pPr>
              <w:spacing w:line="300" w:lineRule="exact"/>
              <w:jc w:val="center"/>
              <w:rPr>
                <w:rFonts w:ascii="宋体" w:hAnsi="宋体" w:eastAsia="宋体"/>
                <w:sz w:val="21"/>
                <w:szCs w:val="21"/>
              </w:rPr>
            </w:pPr>
          </w:p>
        </w:tc>
        <w:tc>
          <w:tcPr>
            <w:tcW w:w="957" w:type="dxa"/>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市县财政</w:t>
            </w:r>
          </w:p>
        </w:tc>
        <w:tc>
          <w:tcPr>
            <w:tcW w:w="929" w:type="dxa"/>
            <w:gridSpan w:val="2"/>
            <w:vAlign w:val="center"/>
          </w:tcPr>
          <w:p>
            <w:pPr>
              <w:spacing w:line="300" w:lineRule="exact"/>
              <w:jc w:val="center"/>
              <w:rPr>
                <w:rFonts w:ascii="宋体" w:hAnsi="宋体" w:eastAsia="宋体"/>
                <w:sz w:val="21"/>
                <w:szCs w:val="21"/>
              </w:rPr>
            </w:pPr>
          </w:p>
        </w:tc>
        <w:tc>
          <w:tcPr>
            <w:tcW w:w="2193"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市县财政</w:t>
            </w:r>
          </w:p>
        </w:tc>
        <w:tc>
          <w:tcPr>
            <w:tcW w:w="945" w:type="dxa"/>
            <w:vAlign w:val="center"/>
          </w:tcPr>
          <w:p>
            <w:pPr>
              <w:spacing w:line="300" w:lineRule="exact"/>
              <w:jc w:val="center"/>
              <w:rPr>
                <w:rFonts w:ascii="宋体" w:hAnsi="宋体" w:eastAsia="宋体"/>
                <w:sz w:val="21"/>
                <w:szCs w:val="21"/>
              </w:rPr>
            </w:pPr>
          </w:p>
        </w:tc>
        <w:tc>
          <w:tcPr>
            <w:tcW w:w="2100" w:type="dxa"/>
            <w:gridSpan w:val="4"/>
            <w:vAlign w:val="center"/>
          </w:tcPr>
          <w:p>
            <w:pPr>
              <w:spacing w:line="300" w:lineRule="exact"/>
              <w:jc w:val="center"/>
              <w:rPr>
                <w:rFonts w:ascii="宋体" w:hAnsi="宋体" w:eastAsia="宋体"/>
                <w:sz w:val="21"/>
                <w:szCs w:val="21"/>
              </w:rPr>
            </w:pPr>
          </w:p>
        </w:tc>
        <w:tc>
          <w:tcPr>
            <w:tcW w:w="957" w:type="dxa"/>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1906"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其他</w:t>
            </w:r>
          </w:p>
        </w:tc>
        <w:tc>
          <w:tcPr>
            <w:tcW w:w="929" w:type="dxa"/>
            <w:gridSpan w:val="2"/>
            <w:vAlign w:val="center"/>
          </w:tcPr>
          <w:p>
            <w:pPr>
              <w:spacing w:line="300" w:lineRule="exact"/>
              <w:jc w:val="center"/>
              <w:rPr>
                <w:rFonts w:ascii="宋体" w:hAnsi="宋体" w:eastAsia="宋体"/>
                <w:sz w:val="21"/>
                <w:szCs w:val="21"/>
              </w:rPr>
            </w:pPr>
          </w:p>
        </w:tc>
        <w:tc>
          <w:tcPr>
            <w:tcW w:w="2193" w:type="dxa"/>
            <w:gridSpan w:val="4"/>
            <w:vAlign w:val="center"/>
          </w:tcPr>
          <w:p>
            <w:pPr>
              <w:spacing w:line="300" w:lineRule="exact"/>
              <w:jc w:val="center"/>
              <w:rPr>
                <w:rFonts w:ascii="宋体" w:hAnsi="宋体" w:eastAsia="宋体"/>
                <w:sz w:val="21"/>
                <w:szCs w:val="21"/>
              </w:rPr>
            </w:pPr>
            <w:r>
              <w:rPr>
                <w:rFonts w:hint="eastAsia" w:ascii="宋体" w:hAnsi="宋体" w:eastAsia="宋体"/>
                <w:sz w:val="21"/>
                <w:szCs w:val="21"/>
              </w:rPr>
              <w:t>其他</w:t>
            </w:r>
          </w:p>
        </w:tc>
        <w:tc>
          <w:tcPr>
            <w:tcW w:w="945" w:type="dxa"/>
            <w:vAlign w:val="center"/>
          </w:tcPr>
          <w:p>
            <w:pPr>
              <w:spacing w:line="300" w:lineRule="exact"/>
              <w:jc w:val="center"/>
              <w:rPr>
                <w:rFonts w:ascii="宋体" w:hAnsi="宋体" w:eastAsia="宋体"/>
                <w:sz w:val="21"/>
                <w:szCs w:val="21"/>
              </w:rPr>
            </w:pPr>
          </w:p>
        </w:tc>
        <w:tc>
          <w:tcPr>
            <w:tcW w:w="2100" w:type="dxa"/>
            <w:gridSpan w:val="4"/>
            <w:vAlign w:val="center"/>
          </w:tcPr>
          <w:p>
            <w:pPr>
              <w:spacing w:line="300" w:lineRule="exact"/>
              <w:jc w:val="center"/>
              <w:rPr>
                <w:rFonts w:ascii="宋体" w:hAnsi="宋体" w:eastAsia="宋体"/>
                <w:sz w:val="21"/>
                <w:szCs w:val="21"/>
              </w:rPr>
            </w:pPr>
          </w:p>
        </w:tc>
        <w:tc>
          <w:tcPr>
            <w:tcW w:w="957" w:type="dxa"/>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jc w:val="center"/>
        </w:trPr>
        <w:tc>
          <w:tcPr>
            <w:tcW w:w="9030" w:type="dxa"/>
            <w:gridSpan w:val="15"/>
            <w:vAlign w:val="center"/>
          </w:tcPr>
          <w:p>
            <w:pPr>
              <w:spacing w:line="300" w:lineRule="exact"/>
              <w:rPr>
                <w:rFonts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97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二级指标</w:t>
            </w:r>
          </w:p>
        </w:tc>
        <w:tc>
          <w:tcPr>
            <w:tcW w:w="724"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三级指标</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20</w:t>
            </w:r>
          </w:p>
        </w:tc>
        <w:tc>
          <w:tcPr>
            <w:tcW w:w="197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drawing>
                <wp:inline distT="0" distB="0" distL="0" distR="0">
                  <wp:extent cx="17780" cy="17780"/>
                  <wp:effectExtent l="0" t="0" r="0" b="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noChangeArrowheads="1"/>
                          </pic:cNvPicPr>
                        </pic:nvPicPr>
                        <pic:blipFill>
                          <a:blip r:embed="rId4" cstate="print"/>
                          <a:srcRect/>
                          <a:stretch>
                            <a:fillRect/>
                          </a:stretch>
                        </pic:blipFill>
                        <pic:spPr>
                          <a:xfrm>
                            <a:off x="0" y="0"/>
                            <a:ext cx="17780" cy="17780"/>
                          </a:xfrm>
                          <a:prstGeom prst="rect">
                            <a:avLst/>
                          </a:prstGeom>
                          <a:noFill/>
                          <a:ln w="9525">
                            <a:noFill/>
                            <a:miter lim="800000"/>
                            <a:headEnd/>
                            <a:tailEnd/>
                          </a:ln>
                        </pic:spPr>
                      </pic:pic>
                    </a:graphicData>
                  </a:graphic>
                </wp:inline>
              </w:drawing>
            </w:r>
            <w:r>
              <w:rPr>
                <w:rFonts w:hint="eastAsia" w:ascii="宋体" w:hAnsi="宋体" w:eastAsia="宋体"/>
                <w:sz w:val="21"/>
                <w:szCs w:val="21"/>
              </w:rPr>
              <w:drawing>
                <wp:inline distT="0" distB="0" distL="0" distR="0">
                  <wp:extent cx="17780" cy="17780"/>
                  <wp:effectExtent l="0" t="0" r="0" b="0"/>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noChangeArrowheads="1"/>
                          </pic:cNvPicPr>
                        </pic:nvPicPr>
                        <pic:blipFill>
                          <a:blip r:embed="rId4" cstate="print"/>
                          <a:srcRect/>
                          <a:stretch>
                            <a:fillRect/>
                          </a:stretch>
                        </pic:blipFill>
                        <pic:spPr>
                          <a:xfrm>
                            <a:off x="0" y="0"/>
                            <a:ext cx="17780" cy="17780"/>
                          </a:xfrm>
                          <a:prstGeom prst="rect">
                            <a:avLst/>
                          </a:prstGeom>
                          <a:noFill/>
                          <a:ln w="9525">
                            <a:noFill/>
                            <a:miter lim="800000"/>
                            <a:headEnd/>
                            <a:tailEnd/>
                          </a:ln>
                        </pic:spPr>
                      </pic:pic>
                    </a:graphicData>
                  </a:graphic>
                </wp:inline>
              </w:drawing>
            </w:r>
            <w:r>
              <w:rPr>
                <w:rFonts w:hint="eastAsia" w:ascii="宋体" w:hAnsi="宋体" w:eastAsia="宋体"/>
                <w:sz w:val="21"/>
                <w:szCs w:val="21"/>
              </w:rPr>
              <w:drawing>
                <wp:inline distT="0" distB="0" distL="0" distR="0">
                  <wp:extent cx="17780" cy="17780"/>
                  <wp:effectExtent l="0" t="0" r="0" b="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noChangeArrowheads="1"/>
                          </pic:cNvPicPr>
                        </pic:nvPicPr>
                        <pic:blipFill>
                          <a:blip r:embed="rId4" cstate="print"/>
                          <a:srcRect/>
                          <a:stretch>
                            <a:fillRect/>
                          </a:stretch>
                        </pic:blipFill>
                        <pic:spPr>
                          <a:xfrm>
                            <a:off x="0" y="0"/>
                            <a:ext cx="17780" cy="17780"/>
                          </a:xfrm>
                          <a:prstGeom prst="rect">
                            <a:avLst/>
                          </a:prstGeom>
                          <a:noFill/>
                          <a:ln w="9525">
                            <a:noFill/>
                            <a:miter lim="800000"/>
                            <a:headEnd/>
                            <a:tailEnd/>
                          </a:ln>
                        </pic:spPr>
                      </pic:pic>
                    </a:graphicData>
                  </a:graphic>
                </wp:inline>
              </w:drawing>
            </w:r>
            <w:r>
              <w:rPr>
                <w:rFonts w:hint="eastAsia" w:ascii="宋体" w:hAnsi="宋体" w:eastAsia="宋体"/>
                <w:sz w:val="21"/>
                <w:szCs w:val="21"/>
              </w:rPr>
              <w:drawing>
                <wp:inline distT="0" distB="0" distL="0" distR="0">
                  <wp:extent cx="17780" cy="17780"/>
                  <wp:effectExtent l="0" t="0" r="0" b="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noChangeArrowheads="1"/>
                          </pic:cNvPicPr>
                        </pic:nvPicPr>
                        <pic:blipFill>
                          <a:blip r:embed="rId4" cstate="print"/>
                          <a:srcRect/>
                          <a:stretch>
                            <a:fillRect/>
                          </a:stretch>
                        </pic:blipFill>
                        <pic:spPr>
                          <a:xfrm>
                            <a:off x="0" y="0"/>
                            <a:ext cx="17780" cy="17780"/>
                          </a:xfrm>
                          <a:prstGeom prst="rect">
                            <a:avLst/>
                          </a:prstGeom>
                          <a:noFill/>
                          <a:ln w="9525">
                            <a:noFill/>
                            <a:miter lim="800000"/>
                            <a:headEnd/>
                            <a:tailEnd/>
                          </a:ln>
                        </pic:spPr>
                      </pic:pic>
                    </a:graphicData>
                  </a:graphic>
                </wp:inline>
              </w:drawing>
            </w:r>
          </w:p>
        </w:tc>
        <w:tc>
          <w:tcPr>
            <w:tcW w:w="724"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目标内容</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决策过程</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决策依据</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决策程序</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资金分配</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分配办法</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分配结果</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6</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25</w:t>
            </w: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资金到位</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到位率</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到位时效</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资金管理</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资金使用</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7</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财务管理</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组织实施</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组织机构</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管理制度</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9</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55</w:t>
            </w: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项目产出</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产出数量</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产出质量</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产出时效</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产出成本</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项目效益</w:t>
            </w:r>
          </w:p>
        </w:tc>
        <w:tc>
          <w:tcPr>
            <w:tcW w:w="724"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经济效益</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社会效益</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环境效益</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可持续影响</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97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72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 w:val="21"/>
                <w:szCs w:val="21"/>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ind w:right="-72" w:rightChars="-24"/>
              <w:jc w:val="center"/>
              <w:textAlignment w:val="center"/>
              <w:rPr>
                <w:rFonts w:ascii="宋体" w:hAnsi="宋体" w:eastAsia="宋体"/>
                <w:color w:val="000000"/>
                <w:sz w:val="18"/>
                <w:szCs w:val="18"/>
              </w:rPr>
            </w:pPr>
            <w:r>
              <w:rPr>
                <w:rFonts w:hint="eastAsia" w:ascii="宋体" w:hAnsi="宋体" w:eastAsia="宋体"/>
                <w:color w:val="000000"/>
                <w:sz w:val="18"/>
                <w:szCs w:val="18"/>
              </w:rPr>
              <w:t>服务对象满意度</w:t>
            </w:r>
          </w:p>
        </w:tc>
        <w:tc>
          <w:tcPr>
            <w:tcW w:w="57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9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403" w:type="dxa"/>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100</w:t>
            </w:r>
          </w:p>
        </w:tc>
        <w:tc>
          <w:tcPr>
            <w:tcW w:w="1973"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p>
        </w:tc>
        <w:tc>
          <w:tcPr>
            <w:tcW w:w="724" w:type="dxa"/>
            <w:gridSpan w:val="3"/>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100</w:t>
            </w:r>
          </w:p>
        </w:tc>
        <w:tc>
          <w:tcPr>
            <w:tcW w:w="1470"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p>
        </w:tc>
        <w:tc>
          <w:tcPr>
            <w:tcW w:w="574" w:type="dxa"/>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100</w:t>
            </w:r>
          </w:p>
        </w:tc>
        <w:tc>
          <w:tcPr>
            <w:tcW w:w="1958" w:type="dxa"/>
            <w:gridSpan w:val="3"/>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5028" w:type="dxa"/>
            <w:gridSpan w:val="9"/>
            <w:vAlign w:val="center"/>
          </w:tcPr>
          <w:p>
            <w:pPr>
              <w:tabs>
                <w:tab w:val="left" w:pos="2135"/>
              </w:tabs>
              <w:spacing w:line="300" w:lineRule="exact"/>
              <w:jc w:val="center"/>
              <w:rPr>
                <w:rFonts w:ascii="宋体" w:hAnsi="宋体" w:eastAsia="宋体"/>
                <w:sz w:val="21"/>
                <w:szCs w:val="21"/>
              </w:rPr>
            </w:pPr>
            <w:r>
              <w:rPr>
                <w:rFonts w:hint="eastAsia" w:ascii="宋体" w:hAnsi="宋体" w:eastAsia="宋体"/>
                <w:sz w:val="21"/>
                <w:szCs w:val="21"/>
              </w:rPr>
              <w:t>评价等次</w:t>
            </w:r>
          </w:p>
        </w:tc>
        <w:tc>
          <w:tcPr>
            <w:tcW w:w="4002" w:type="dxa"/>
            <w:gridSpan w:val="6"/>
            <w:vAlign w:val="center"/>
          </w:tcPr>
          <w:p>
            <w:pPr>
              <w:spacing w:line="300" w:lineRule="exact"/>
              <w:jc w:val="center"/>
              <w:rPr>
                <w:rFonts w:ascii="宋体" w:hAnsi="宋体" w:eastAsia="宋体"/>
                <w:sz w:val="21"/>
                <w:szCs w:val="21"/>
              </w:rPr>
            </w:pPr>
            <w:r>
              <w:rPr>
                <w:rFonts w:hint="eastAsia" w:ascii="宋体" w:hAnsi="宋体" w:eastAsia="宋体"/>
                <w:sz w:val="21"/>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5028" w:type="dxa"/>
            <w:gridSpan w:val="9"/>
            <w:tcBorders>
              <w:top w:val="nil"/>
              <w:left w:val="nil"/>
              <w:right w:val="nil"/>
            </w:tcBorders>
            <w:vAlign w:val="center"/>
          </w:tcPr>
          <w:p>
            <w:pPr>
              <w:tabs>
                <w:tab w:val="left" w:pos="2135"/>
              </w:tabs>
              <w:spacing w:line="300" w:lineRule="exact"/>
              <w:jc w:val="center"/>
              <w:rPr>
                <w:rFonts w:ascii="宋体" w:hAnsi="宋体" w:eastAsia="宋体"/>
                <w:sz w:val="21"/>
                <w:szCs w:val="21"/>
              </w:rPr>
            </w:pPr>
          </w:p>
        </w:tc>
        <w:tc>
          <w:tcPr>
            <w:tcW w:w="4002" w:type="dxa"/>
            <w:gridSpan w:val="6"/>
            <w:tcBorders>
              <w:top w:val="nil"/>
              <w:left w:val="nil"/>
              <w:right w:val="nil"/>
            </w:tcBorders>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exact"/>
          <w:jc w:val="center"/>
        </w:trPr>
        <w:tc>
          <w:tcPr>
            <w:tcW w:w="5028" w:type="dxa"/>
            <w:gridSpan w:val="9"/>
            <w:vAlign w:val="center"/>
          </w:tcPr>
          <w:p>
            <w:pPr>
              <w:tabs>
                <w:tab w:val="left" w:pos="2135"/>
              </w:tabs>
              <w:spacing w:line="300" w:lineRule="exact"/>
              <w:jc w:val="center"/>
              <w:rPr>
                <w:rFonts w:ascii="宋体" w:hAnsi="宋体" w:eastAsia="宋体"/>
                <w:sz w:val="21"/>
                <w:szCs w:val="21"/>
              </w:rPr>
            </w:pPr>
          </w:p>
        </w:tc>
        <w:tc>
          <w:tcPr>
            <w:tcW w:w="4002" w:type="dxa"/>
            <w:gridSpan w:val="6"/>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9030" w:type="dxa"/>
            <w:gridSpan w:val="15"/>
            <w:vAlign w:val="center"/>
          </w:tcPr>
          <w:p>
            <w:pPr>
              <w:spacing w:line="300" w:lineRule="exact"/>
              <w:rPr>
                <w:rFonts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jc w:val="center"/>
        </w:trPr>
        <w:tc>
          <w:tcPr>
            <w:tcW w:w="1629" w:type="dxa"/>
            <w:gridSpan w:val="2"/>
            <w:vAlign w:val="center"/>
          </w:tcPr>
          <w:p>
            <w:pPr>
              <w:tabs>
                <w:tab w:val="left" w:pos="592"/>
              </w:tabs>
              <w:spacing w:line="300" w:lineRule="exact"/>
              <w:jc w:val="center"/>
              <w:rPr>
                <w:rFonts w:ascii="宋体" w:hAnsi="宋体" w:eastAsia="宋体"/>
                <w:sz w:val="21"/>
                <w:szCs w:val="21"/>
              </w:rPr>
            </w:pPr>
            <w:r>
              <w:rPr>
                <w:rFonts w:hint="eastAsia" w:ascii="宋体" w:hAnsi="宋体" w:eastAsia="宋体"/>
                <w:sz w:val="21"/>
                <w:szCs w:val="21"/>
              </w:rPr>
              <w:t>姓  名</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职务/职称</w:t>
            </w:r>
          </w:p>
        </w:tc>
        <w:tc>
          <w:tcPr>
            <w:tcW w:w="1594"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单   位</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项目评分</w:t>
            </w:r>
          </w:p>
        </w:tc>
        <w:tc>
          <w:tcPr>
            <w:tcW w:w="1958"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阴若珂</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综合处处长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98</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潘志勇</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政策法规处处长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97</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符海珠</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规划统计处处长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96</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629" w:type="dxa"/>
            <w:gridSpan w:val="2"/>
            <w:vAlign w:val="center"/>
          </w:tcPr>
          <w:p>
            <w:pPr>
              <w:spacing w:line="300" w:lineRule="exact"/>
              <w:ind w:firstLine="420" w:firstLineChars="200"/>
              <w:rPr>
                <w:rFonts w:ascii="宋体" w:hAnsi="宋体" w:eastAsia="宋体"/>
                <w:sz w:val="21"/>
                <w:szCs w:val="21"/>
              </w:rPr>
            </w:pPr>
            <w:r>
              <w:rPr>
                <w:rFonts w:hint="eastAsia" w:ascii="宋体" w:hAnsi="宋体" w:eastAsia="宋体"/>
                <w:sz w:val="21"/>
                <w:szCs w:val="21"/>
              </w:rPr>
              <w:t>陈冠智</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社会扶贫处处长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98</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何魁元</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开发资金项目处副处长</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96</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吴晓笙</w:t>
            </w:r>
          </w:p>
        </w:tc>
        <w:tc>
          <w:tcPr>
            <w:tcW w:w="2750" w:type="dxa"/>
            <w:gridSpan w:val="5"/>
            <w:vAlign w:val="center"/>
          </w:tcPr>
          <w:p>
            <w:pPr>
              <w:spacing w:line="300" w:lineRule="exact"/>
              <w:jc w:val="center"/>
              <w:rPr>
                <w:rFonts w:ascii="宋体" w:hAnsi="宋体" w:eastAsia="宋体"/>
                <w:sz w:val="21"/>
                <w:szCs w:val="21"/>
              </w:rPr>
            </w:pPr>
            <w:r>
              <w:rPr>
                <w:rFonts w:hint="eastAsia" w:ascii="宋体" w:hAnsi="宋体" w:eastAsia="宋体"/>
                <w:sz w:val="21"/>
                <w:szCs w:val="21"/>
              </w:rPr>
              <w:t>机关党委专职副书记</w:t>
            </w:r>
          </w:p>
        </w:tc>
        <w:tc>
          <w:tcPr>
            <w:tcW w:w="1594" w:type="dxa"/>
            <w:gridSpan w:val="3"/>
            <w:vAlign w:val="center"/>
          </w:tcPr>
          <w:p>
            <w:pPr>
              <w:jc w:val="center"/>
            </w:pPr>
            <w:r>
              <w:rPr>
                <w:rFonts w:hint="eastAsia" w:ascii="宋体" w:hAnsi="宋体" w:eastAsia="宋体"/>
                <w:sz w:val="21"/>
                <w:szCs w:val="21"/>
              </w:rPr>
              <w:t>省扶贫办</w:t>
            </w:r>
          </w:p>
        </w:tc>
        <w:tc>
          <w:tcPr>
            <w:tcW w:w="109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97</w:t>
            </w:r>
          </w:p>
        </w:tc>
        <w:tc>
          <w:tcPr>
            <w:tcW w:w="1958" w:type="dxa"/>
            <w:gridSpan w:val="3"/>
            <w:vAlign w:val="center"/>
          </w:tcPr>
          <w:p>
            <w:pPr>
              <w:spacing w:line="3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629" w:type="dxa"/>
            <w:gridSpan w:val="2"/>
            <w:vAlign w:val="center"/>
          </w:tcPr>
          <w:p>
            <w:pPr>
              <w:spacing w:line="300" w:lineRule="exact"/>
              <w:jc w:val="center"/>
              <w:rPr>
                <w:rFonts w:ascii="宋体" w:hAnsi="宋体" w:eastAsia="宋体"/>
                <w:sz w:val="21"/>
                <w:szCs w:val="21"/>
              </w:rPr>
            </w:pPr>
            <w:r>
              <w:rPr>
                <w:rFonts w:hint="eastAsia" w:ascii="宋体" w:hAnsi="宋体" w:eastAsia="宋体"/>
                <w:sz w:val="21"/>
                <w:szCs w:val="21"/>
              </w:rPr>
              <w:t>合计</w:t>
            </w:r>
          </w:p>
        </w:tc>
        <w:tc>
          <w:tcPr>
            <w:tcW w:w="2750" w:type="dxa"/>
            <w:gridSpan w:val="5"/>
            <w:vAlign w:val="center"/>
          </w:tcPr>
          <w:p>
            <w:pPr>
              <w:spacing w:line="300" w:lineRule="exact"/>
              <w:jc w:val="center"/>
              <w:rPr>
                <w:rFonts w:ascii="宋体" w:hAnsi="宋体" w:eastAsia="宋体"/>
                <w:sz w:val="21"/>
                <w:szCs w:val="21"/>
              </w:rPr>
            </w:pPr>
          </w:p>
        </w:tc>
        <w:tc>
          <w:tcPr>
            <w:tcW w:w="1594" w:type="dxa"/>
            <w:gridSpan w:val="3"/>
            <w:vAlign w:val="center"/>
          </w:tcPr>
          <w:p>
            <w:pPr>
              <w:spacing w:line="300" w:lineRule="exact"/>
              <w:jc w:val="center"/>
              <w:rPr>
                <w:rFonts w:ascii="宋体" w:hAnsi="宋体" w:eastAsia="宋体"/>
                <w:sz w:val="21"/>
                <w:szCs w:val="21"/>
              </w:rPr>
            </w:pPr>
          </w:p>
        </w:tc>
        <w:tc>
          <w:tcPr>
            <w:tcW w:w="1099" w:type="dxa"/>
            <w:gridSpan w:val="2"/>
            <w:vAlign w:val="center"/>
          </w:tcPr>
          <w:p>
            <w:pPr>
              <w:spacing w:line="300" w:lineRule="exact"/>
              <w:jc w:val="center"/>
              <w:rPr>
                <w:rFonts w:ascii="宋体" w:hAnsi="宋体" w:eastAsia="宋体"/>
                <w:color w:val="000000"/>
                <w:sz w:val="21"/>
                <w:szCs w:val="21"/>
              </w:rPr>
            </w:pPr>
            <w:r>
              <w:rPr>
                <w:rFonts w:hint="eastAsia" w:ascii="宋体" w:hAnsi="宋体" w:eastAsia="宋体"/>
                <w:color w:val="000000"/>
                <w:sz w:val="21"/>
                <w:szCs w:val="21"/>
              </w:rPr>
              <w:t>平均得分</w:t>
            </w:r>
          </w:p>
        </w:tc>
        <w:tc>
          <w:tcPr>
            <w:tcW w:w="1958" w:type="dxa"/>
            <w:gridSpan w:val="3"/>
            <w:vAlign w:val="center"/>
          </w:tcPr>
          <w:p>
            <w:pPr>
              <w:spacing w:line="300" w:lineRule="exact"/>
              <w:jc w:val="center"/>
              <w:rPr>
                <w:rFonts w:ascii="宋体" w:hAnsi="宋体" w:eastAsia="宋体"/>
                <w:sz w:val="21"/>
                <w:szCs w:val="21"/>
              </w:rPr>
            </w:pPr>
            <w:r>
              <w:rPr>
                <w:rFonts w:hint="eastAsia" w:ascii="宋体" w:hAnsi="宋体" w:eastAsia="宋体"/>
                <w:sz w:val="21"/>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0" w:hRule="exact"/>
          <w:jc w:val="center"/>
        </w:trPr>
        <w:tc>
          <w:tcPr>
            <w:tcW w:w="9030" w:type="dxa"/>
            <w:gridSpan w:val="15"/>
            <w:tcBorders>
              <w:bottom w:val="single" w:color="auto" w:sz="4" w:space="0"/>
            </w:tcBorders>
            <w:vAlign w:val="center"/>
          </w:tcPr>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60" w:lineRule="auto"/>
              <w:jc w:val="center"/>
              <w:rPr>
                <w:rFonts w:ascii="宋体" w:hAnsi="宋体" w:eastAsia="宋体"/>
                <w:sz w:val="21"/>
                <w:szCs w:val="21"/>
              </w:rPr>
            </w:pPr>
          </w:p>
          <w:p>
            <w:pPr>
              <w:spacing w:line="360" w:lineRule="auto"/>
              <w:jc w:val="center"/>
              <w:rPr>
                <w:rFonts w:ascii="宋体" w:hAnsi="宋体" w:eastAsia="宋体"/>
                <w:sz w:val="21"/>
                <w:szCs w:val="21"/>
              </w:rPr>
            </w:pPr>
          </w:p>
          <w:p>
            <w:pPr>
              <w:spacing w:line="360" w:lineRule="auto"/>
              <w:jc w:val="center"/>
              <w:rPr>
                <w:rFonts w:ascii="宋体" w:hAnsi="宋体" w:eastAsia="宋体"/>
                <w:sz w:val="21"/>
                <w:szCs w:val="21"/>
              </w:rPr>
            </w:pPr>
          </w:p>
          <w:p>
            <w:pPr>
              <w:spacing w:line="360" w:lineRule="auto"/>
              <w:jc w:val="center"/>
              <w:rPr>
                <w:rFonts w:ascii="宋体" w:hAnsi="宋体" w:eastAsia="宋体"/>
                <w:sz w:val="21"/>
                <w:szCs w:val="21"/>
              </w:rPr>
            </w:pPr>
          </w:p>
          <w:p>
            <w:pPr>
              <w:spacing w:line="300" w:lineRule="exact"/>
              <w:ind w:firstLine="1260" w:firstLineChars="600"/>
              <w:rPr>
                <w:rFonts w:ascii="宋体" w:hAnsi="宋体" w:eastAsia="宋体"/>
                <w:sz w:val="21"/>
                <w:szCs w:val="21"/>
              </w:rPr>
            </w:pPr>
            <w:r>
              <w:rPr>
                <w:rFonts w:hint="eastAsia" w:ascii="宋体" w:hAnsi="宋体" w:eastAsia="宋体"/>
                <w:sz w:val="21"/>
                <w:szCs w:val="21"/>
              </w:rPr>
              <w:t>评价工作组组长（签字并单位盖章）：</w:t>
            </w: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20</w:t>
            </w:r>
            <w:r>
              <w:rPr>
                <w:rFonts w:hint="eastAsia" w:ascii="宋体" w:hAnsi="宋体" w:eastAsia="宋体"/>
                <w:sz w:val="21"/>
                <w:szCs w:val="21"/>
              </w:rPr>
              <w:t>20</w:t>
            </w:r>
            <w:r>
              <w:rPr>
                <w:rFonts w:ascii="宋体" w:hAnsi="宋体" w:eastAsia="宋体"/>
                <w:sz w:val="21"/>
                <w:szCs w:val="21"/>
              </w:rPr>
              <w:t>年</w:t>
            </w:r>
            <w:r>
              <w:rPr>
                <w:rFonts w:hint="eastAsia" w:ascii="宋体" w:hAnsi="宋体" w:eastAsia="宋体"/>
                <w:sz w:val="21"/>
                <w:szCs w:val="21"/>
              </w:rPr>
              <w:t>5</w:t>
            </w:r>
            <w:r>
              <w:rPr>
                <w:rFonts w:ascii="宋体" w:hAnsi="宋体" w:eastAsia="宋体"/>
                <w:sz w:val="21"/>
                <w:szCs w:val="21"/>
              </w:rPr>
              <w:t>月</w:t>
            </w:r>
            <w:r>
              <w:rPr>
                <w:rFonts w:hint="eastAsia" w:ascii="宋体" w:hAnsi="宋体" w:eastAsia="宋体"/>
                <w:sz w:val="21"/>
                <w:szCs w:val="21"/>
              </w:rPr>
              <w:t>27</w:t>
            </w:r>
            <w:r>
              <w:rPr>
                <w:rFonts w:ascii="宋体" w:hAnsi="宋体" w:eastAsia="宋体"/>
                <w:sz w:val="21"/>
                <w:szCs w:val="21"/>
              </w:rPr>
              <w:t>日</w:t>
            </w: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rPr>
                <w:rFonts w:ascii="宋体" w:hAnsi="宋体" w:eastAsia="宋体"/>
                <w:sz w:val="21"/>
                <w:szCs w:val="21"/>
              </w:rPr>
            </w:pPr>
          </w:p>
          <w:p>
            <w:pPr>
              <w:spacing w:line="300" w:lineRule="exact"/>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r>
              <w:rPr>
                <w:rFonts w:hint="eastAsia" w:ascii="宋体" w:hAnsi="宋体" w:eastAsia="宋体"/>
                <w:sz w:val="21"/>
                <w:szCs w:val="21"/>
              </w:rPr>
              <w:t>评价工作组组长（签字并单位盖章）：</w:t>
            </w:r>
          </w:p>
          <w:p>
            <w:pPr>
              <w:spacing w:line="300" w:lineRule="exact"/>
              <w:rPr>
                <w:rFonts w:ascii="宋体" w:hAnsi="宋体" w:eastAsia="宋体"/>
                <w:sz w:val="21"/>
                <w:szCs w:val="21"/>
              </w:rPr>
            </w:pPr>
          </w:p>
          <w:p>
            <w:pPr>
              <w:spacing w:line="300" w:lineRule="exact"/>
              <w:jc w:val="center"/>
              <w:rPr>
                <w:rFonts w:ascii="宋体" w:hAnsi="宋体" w:eastAsia="宋体"/>
                <w:sz w:val="21"/>
                <w:szCs w:val="21"/>
              </w:rPr>
            </w:pPr>
            <w:r>
              <w:rPr>
                <w:rFonts w:hint="eastAsia" w:ascii="宋体" w:hAnsi="宋体" w:eastAsia="宋体"/>
                <w:sz w:val="21"/>
                <w:szCs w:val="21"/>
              </w:rPr>
              <w:t>年    月   日</w:t>
            </w:r>
          </w:p>
          <w:p>
            <w:pPr>
              <w:spacing w:line="300" w:lineRule="exact"/>
              <w:jc w:val="center"/>
              <w:rPr>
                <w:rFonts w:ascii="宋体" w:hAnsi="宋体" w:eastAsia="宋体"/>
                <w:sz w:val="21"/>
                <w:szCs w:val="21"/>
              </w:rPr>
            </w:pPr>
          </w:p>
          <w:p>
            <w:pPr>
              <w:spacing w:line="300" w:lineRule="exact"/>
              <w:jc w:val="center"/>
              <w:rPr>
                <w:rFonts w:ascii="宋体" w:hAnsi="宋体" w:eastAsia="宋体"/>
                <w:sz w:val="21"/>
                <w:szCs w:val="21"/>
              </w:rPr>
            </w:pPr>
          </w:p>
        </w:tc>
      </w:tr>
    </w:tbl>
    <w:p>
      <w:pPr>
        <w:widowControl/>
        <w:spacing w:line="40" w:lineRule="exact"/>
        <w:jc w:val="left"/>
      </w:pPr>
    </w:p>
    <w:p>
      <w:pPr>
        <w:widowControl/>
        <w:spacing w:line="40" w:lineRule="exact"/>
        <w:jc w:val="left"/>
      </w:pPr>
    </w:p>
    <w:p>
      <w:pPr>
        <w:widowControl/>
        <w:spacing w:line="40" w:lineRule="exact"/>
        <w:jc w:val="left"/>
      </w:pPr>
    </w:p>
    <w:p>
      <w:pPr>
        <w:widowControl/>
        <w:spacing w:line="560" w:lineRule="exact"/>
        <w:jc w:val="left"/>
      </w:pPr>
    </w:p>
    <w:p>
      <w:pPr>
        <w:widowControl/>
        <w:spacing w:line="560" w:lineRule="exact"/>
        <w:jc w:val="left"/>
      </w:pPr>
    </w:p>
    <w:p>
      <w:pPr>
        <w:spacing w:line="600" w:lineRule="exact"/>
        <w:jc w:val="center"/>
        <w:rPr>
          <w:rFonts w:ascii="方正小标宋_GBK" w:hAnsi="仿宋" w:eastAsia="方正小标宋_GBK"/>
          <w:sz w:val="44"/>
          <w:szCs w:val="44"/>
        </w:rPr>
      </w:pPr>
      <w:r>
        <w:rPr>
          <w:rFonts w:hint="eastAsia" w:ascii="方正小标宋_GBK" w:hAnsi="宋体" w:eastAsia="方正小标宋_GBK"/>
          <w:bCs/>
          <w:sz w:val="44"/>
          <w:szCs w:val="44"/>
        </w:rPr>
        <w:t>2019年度财政专项扶贫资金绩效自评报告</w:t>
      </w:r>
    </w:p>
    <w:p>
      <w:pPr>
        <w:widowControl/>
        <w:spacing w:line="578" w:lineRule="atLeast"/>
        <w:ind w:firstLine="640"/>
        <w:rPr>
          <w:rFonts w:ascii="仿宋_GB2312" w:hAnsi="宋体" w:cs="宋体"/>
          <w:color w:val="000000"/>
          <w:kern w:val="0"/>
          <w:sz w:val="32"/>
          <w:szCs w:val="32"/>
        </w:rPr>
      </w:pPr>
    </w:p>
    <w:p>
      <w:pPr>
        <w:widowControl/>
        <w:spacing w:line="560" w:lineRule="exact"/>
        <w:ind w:firstLine="64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一、项目概况</w:t>
      </w:r>
    </w:p>
    <w:p>
      <w:pPr>
        <w:widowControl/>
        <w:spacing w:line="560" w:lineRule="exact"/>
        <w:ind w:firstLine="640"/>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（一）项目基本性质、用途和主要内容</w:t>
      </w:r>
    </w:p>
    <w:p>
      <w:pPr>
        <w:spacing w:line="560" w:lineRule="exact"/>
        <w:ind w:firstLine="640" w:firstLineChars="200"/>
        <w:rPr>
          <w:rFonts w:ascii="仿宋_GB2312" w:hAnsi="楷体" w:cs="楷体"/>
          <w:color w:val="000000" w:themeColor="text1"/>
          <w:sz w:val="32"/>
          <w:szCs w:val="32"/>
        </w:rPr>
      </w:pPr>
      <w:r>
        <w:rPr>
          <w:rFonts w:hint="eastAsia" w:ascii="仿宋_GB2312" w:hAnsi="楷体" w:cs="楷体"/>
          <w:color w:val="000000" w:themeColor="text1"/>
          <w:sz w:val="32"/>
          <w:szCs w:val="32"/>
        </w:rPr>
        <w:t>1.基本性质：经常性项目，是省本级预算安排财政专项扶贫资金。</w:t>
      </w:r>
    </w:p>
    <w:p>
      <w:pPr>
        <w:spacing w:line="560" w:lineRule="exact"/>
        <w:ind w:firstLine="480" w:firstLineChars="150"/>
        <w:rPr>
          <w:rFonts w:ascii="楷体_GB2312" w:hAnsi="楷体" w:eastAsia="楷体_GB2312" w:cs="楷体"/>
          <w:color w:val="000000" w:themeColor="text1"/>
          <w:sz w:val="32"/>
          <w:szCs w:val="32"/>
        </w:rPr>
      </w:pPr>
      <w:r>
        <w:rPr>
          <w:rFonts w:hint="eastAsia" w:ascii="楷体_GB2312" w:hAnsi="楷体" w:eastAsia="楷体_GB2312" w:cs="楷体"/>
          <w:color w:val="000000" w:themeColor="text1"/>
          <w:sz w:val="32"/>
          <w:szCs w:val="32"/>
        </w:rPr>
        <w:t xml:space="preserve"> </w:t>
      </w:r>
      <w:r>
        <w:rPr>
          <w:rFonts w:hint="eastAsia" w:ascii="仿宋_GB2312" w:hAnsi="楷体" w:cs="楷体"/>
          <w:color w:val="000000" w:themeColor="text1"/>
          <w:sz w:val="32"/>
          <w:szCs w:val="32"/>
        </w:rPr>
        <w:t>2.用途和主要内容：利用扶贫专项资金，调动全社会扶贫积极性，年内完成脱贫任务、巩固提升脱贫质量，继续完善贫困地区基础设施建设，引导推动项目、产业发展，切实提高贫困人口收入，改善贫困人口生活，为打赢脱贫攻坚战提供坚实的资金基础。</w:t>
      </w:r>
    </w:p>
    <w:p>
      <w:pPr>
        <w:widowControl/>
        <w:spacing w:line="560" w:lineRule="exact"/>
        <w:ind w:firstLine="640"/>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（二）项目绩效目标</w:t>
      </w:r>
    </w:p>
    <w:p>
      <w:pPr>
        <w:spacing w:line="560" w:lineRule="exact"/>
        <w:ind w:firstLine="640" w:firstLineChars="200"/>
        <w:rPr>
          <w:rFonts w:ascii="仿宋_GB2312" w:hAnsi="楷体" w:cs="楷体"/>
          <w:color w:val="000000" w:themeColor="text1"/>
          <w:sz w:val="32"/>
          <w:szCs w:val="32"/>
        </w:rPr>
      </w:pPr>
      <w:r>
        <w:rPr>
          <w:rFonts w:hint="eastAsia" w:ascii="仿宋_GB2312" w:hAnsi="楷体" w:cs="楷体"/>
          <w:color w:val="000000" w:themeColor="text1"/>
          <w:sz w:val="32"/>
          <w:szCs w:val="32"/>
        </w:rPr>
        <w:t>2019年度我省计划脱贫人口45000人， 2019年度我省五指山、白沙、临高等3个贫困市县摘帽退出。</w:t>
      </w:r>
    </w:p>
    <w:p>
      <w:pPr>
        <w:widowControl/>
        <w:spacing w:line="560" w:lineRule="exact"/>
        <w:ind w:firstLine="640" w:firstLineChars="20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二、项目资金使用及管理情况</w:t>
      </w:r>
    </w:p>
    <w:p>
      <w:pPr>
        <w:widowControl/>
        <w:spacing w:line="560" w:lineRule="exact"/>
        <w:ind w:firstLine="640"/>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（一）项目资金到位情况分析</w:t>
      </w:r>
    </w:p>
    <w:p>
      <w:pPr>
        <w:widowControl/>
        <w:spacing w:line="560" w:lineRule="exact"/>
        <w:ind w:firstLine="640"/>
        <w:rPr>
          <w:rFonts w:ascii="仿宋_GB2312" w:hAnsi="楷体" w:cs="楷体"/>
          <w:color w:val="000000" w:themeColor="text1"/>
          <w:sz w:val="32"/>
          <w:szCs w:val="32"/>
        </w:rPr>
      </w:pPr>
      <w:r>
        <w:rPr>
          <w:rFonts w:hint="eastAsia" w:ascii="仿宋_GB2312" w:hAnsi="楷体" w:cs="楷体"/>
          <w:color w:val="000000" w:themeColor="text1"/>
          <w:sz w:val="32"/>
          <w:szCs w:val="32"/>
        </w:rPr>
        <w:t>省本级预算安排财政专项扶贫资金108100万元，于2019年3月全部到位，按照分配方案及时划拨到相关市县。</w:t>
      </w:r>
    </w:p>
    <w:p>
      <w:pPr>
        <w:widowControl/>
        <w:spacing w:line="560" w:lineRule="exact"/>
        <w:ind w:firstLine="640"/>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（二）项目资金使用情况分析</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我省于2016年底出台《海南省财政专项扶贫资金管理暂行办法》（琼府办〔2016〕324号），主要精神及内容与《中央财政专项扶贫资金管理办法》（财农〔2017〕8号）保持一致，明确将中央和省级财政专项扶贫资金项目审批权限彻底下放到市县，并采取因素法分配资金。2017年，省政府专题会议纪要（</w:t>
      </w:r>
      <w:r>
        <w:rPr>
          <w:rFonts w:hint="eastAsia" w:ascii="宋体" w:hAnsi="宋体" w:cs="宋体"/>
          <w:color w:val="000000" w:themeColor="text1"/>
          <w:sz w:val="32"/>
          <w:szCs w:val="32"/>
        </w:rPr>
        <w:t>﹝</w:t>
      </w:r>
      <w:r>
        <w:rPr>
          <w:rFonts w:hint="eastAsia" w:ascii="仿宋_GB2312" w:hAnsi="仿宋"/>
          <w:color w:val="000000" w:themeColor="text1"/>
          <w:sz w:val="32"/>
          <w:szCs w:val="32"/>
        </w:rPr>
        <w:t>2017</w:t>
      </w:r>
      <w:r>
        <w:rPr>
          <w:rFonts w:hint="eastAsia" w:ascii="宋体" w:hAnsi="宋体" w:cs="宋体"/>
          <w:color w:val="000000" w:themeColor="text1"/>
          <w:sz w:val="32"/>
          <w:szCs w:val="32"/>
        </w:rPr>
        <w:t>﹞</w:t>
      </w:r>
      <w:r>
        <w:rPr>
          <w:rFonts w:hint="eastAsia" w:ascii="仿宋_GB2312" w:hAnsi="仿宋"/>
          <w:color w:val="000000" w:themeColor="text1"/>
          <w:sz w:val="32"/>
          <w:szCs w:val="32"/>
        </w:rPr>
        <w:t>75号）进一步明确综合考虑“十三五”规划资金、增量资金和调整资金三类因素分配省级财政专项扶贫资金。自2019年开始，安排省级财政专项扶贫资金全部为增量资金，考虑市县年度脱贫任务、深度贫困地区和人口、扶贫开发工作成效考核结果等因素进行分配，并严格落实对贫困县的资金增幅保障要求，确保资金分配结果与脱贫攻坚任务相适应。</w:t>
      </w:r>
    </w:p>
    <w:p>
      <w:pPr>
        <w:widowControl/>
        <w:spacing w:line="560" w:lineRule="exact"/>
        <w:ind w:firstLine="640"/>
        <w:rPr>
          <w:rFonts w:ascii="楷体" w:hAnsi="楷体" w:eastAsia="楷体" w:cs="宋体"/>
          <w:color w:val="000000" w:themeColor="text1"/>
          <w:kern w:val="0"/>
          <w:sz w:val="32"/>
          <w:szCs w:val="32"/>
        </w:rPr>
      </w:pPr>
      <w:r>
        <w:rPr>
          <w:rFonts w:hint="eastAsia" w:ascii="楷体" w:hAnsi="楷体" w:eastAsia="楷体" w:cs="宋体"/>
          <w:color w:val="000000" w:themeColor="text1"/>
          <w:kern w:val="0"/>
          <w:sz w:val="32"/>
          <w:szCs w:val="32"/>
        </w:rPr>
        <w:t>（三）项目资金管理情况分析</w:t>
      </w:r>
    </w:p>
    <w:p>
      <w:pPr>
        <w:snapToGrid w:val="0"/>
        <w:spacing w:line="560" w:lineRule="exact"/>
        <w:ind w:firstLine="640" w:firstLineChars="200"/>
        <w:rPr>
          <w:rFonts w:ascii="仿宋" w:hAnsi="仿宋" w:eastAsia="仿宋" w:cs="仿宋"/>
          <w:color w:val="000000" w:themeColor="text1"/>
          <w:sz w:val="32"/>
          <w:szCs w:val="32"/>
        </w:rPr>
      </w:pPr>
      <w:r>
        <w:rPr>
          <w:rFonts w:hint="eastAsia" w:ascii="仿宋_GB2312" w:hAnsi="仿宋"/>
          <w:color w:val="000000" w:themeColor="text1"/>
          <w:sz w:val="32"/>
          <w:szCs w:val="32"/>
        </w:rPr>
        <w:t>1.开展三次财政专项扶贫资金检查。一是省财政厅组织对保亭、定安、屯昌、乐东、万宁等5个市县2018年1月至2019年6月扶贫资金使用管理情况开展监督检查。二是省财政厅、省扶贫办联合对</w:t>
      </w:r>
      <w:r>
        <w:rPr>
          <w:rFonts w:hint="eastAsia" w:ascii="仿宋" w:hAnsi="仿宋" w:eastAsia="仿宋" w:cs="仿宋"/>
          <w:color w:val="000000" w:themeColor="text1"/>
          <w:sz w:val="32"/>
          <w:szCs w:val="32"/>
        </w:rPr>
        <w:t>儋州、昌江、东方、屯昌、五指山、白沙</w:t>
      </w:r>
      <w:r>
        <w:rPr>
          <w:rFonts w:hint="eastAsia" w:ascii="仿宋_GB2312" w:hAnsi="仿宋"/>
          <w:color w:val="000000" w:themeColor="text1"/>
          <w:sz w:val="32"/>
          <w:szCs w:val="32"/>
        </w:rPr>
        <w:t>等6个市县开展扶贫项目资金公告公示问题整改工作指导。三是省审计厅对5个市县2018年度扶贫资金及政策执行情况进行专项审计。此外，省财政厅共印发扶贫资金支出进度通报22期，将通报抄送省委、省政府、省人大、省政协的所有省领导；印发3期财政扶贫存量资金情况通报，督促加快</w:t>
      </w:r>
      <w:r>
        <w:rPr>
          <w:rFonts w:hint="eastAsia" w:ascii="仿宋" w:hAnsi="仿宋" w:eastAsia="仿宋" w:cs="仿宋"/>
          <w:color w:val="000000" w:themeColor="text1"/>
          <w:sz w:val="32"/>
          <w:szCs w:val="32"/>
        </w:rPr>
        <w:t>财政扶贫存量资金支出。</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2.扶贫监督举报建设和使用。一是继续发挥我省961017热线扶贫监督作用，热线由省电视夜校办负责接听，并对问题进行归类，根据群众诉求转至各相关职能部门办理，办理结果通过电话、邮件等形式告知举报人。二是进一步完善监督举报体系建设。我省于2018年4月对全国12317扶贫监督举报电话完成了3个坐席接入调试和培训工作，并于同日开始受理群众来电。三是完善门户网站建设。省扶贫办在门户网站首页开设公众互动栏目，开设“领导信箱”“投诉建议”“网上调查”“网上信访”等平台，接受群众监督举报。同时，将网站连接到“12345热线”，更加方便接受群众监督举报。建立扶贫微信公众号（公众号：海南扶贫），开设“微互动”栏目，通过“互动交流”接受社会监督。</w:t>
      </w:r>
    </w:p>
    <w:p>
      <w:pPr>
        <w:widowControl/>
        <w:spacing w:line="560" w:lineRule="exact"/>
        <w:ind w:firstLine="64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三、项目组织实施情况</w:t>
      </w:r>
    </w:p>
    <w:p>
      <w:pPr>
        <w:spacing w:line="560" w:lineRule="exact"/>
        <w:ind w:firstLine="645"/>
        <w:rPr>
          <w:rFonts w:ascii="楷体_GB2312" w:hAnsi="楷体" w:eastAsia="楷体_GB2312" w:cs="楷体"/>
          <w:bCs/>
          <w:color w:val="000000" w:themeColor="text1"/>
          <w:sz w:val="32"/>
          <w:szCs w:val="32"/>
        </w:rPr>
      </w:pPr>
      <w:r>
        <w:rPr>
          <w:rFonts w:hint="eastAsia" w:ascii="楷体_GB2312" w:hAnsi="楷体" w:eastAsia="楷体_GB2312" w:cs="楷体"/>
          <w:bCs/>
          <w:color w:val="000000" w:themeColor="text1"/>
          <w:sz w:val="32"/>
          <w:szCs w:val="32"/>
        </w:rPr>
        <w:t>（一）信息公开和公告公示制度建设和执行</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1.省级方面。一是完善公告公示制度体系。出台了《海南省打赢脱贫攻坚战指挥部关于全面加强脱贫攻坚期内各级各类扶贫资金管理的意见》（琼脱贫指〔2018〕32号）、《海南省扶贫办、海南省财政厅关于印发&lt;关于完善扶贫资金项目公告公示制度实施办法&gt;的通知》（琼扶办发〔2018〕184号）、《海南省财政厅、海南省扶贫办关于做好2019年度财政专项扶贫资金使用管理工作的通知》（琼财农〔2019〕58号）、《海南省财政厅、海南省扶贫办关于做好2019年贫困县涉农资金整合试点工作的通知》（琼财农〔2019〕210号），对落实扶贫资金项目公告公示制度提出具体要求。二是落实省级公告公示要求。将省级财政专项扶贫资金108100万元的分配结果在省财政厅及相关主管部门的门户网站进行公开，并在省级有关部门的门户网站主动公开《关于规范统筹整合涉农资金及财政专项扶贫资金使用管理有关事项的通知》、《关于做好2019年度财政专项扶贫资金使用管理工作的通知》、《关于做好2019年贫困县涉农资金整合试点工作的通知》等政策文件。三是加强市县工作指导。将扶贫资金项目公告公示列入扶贫资金管理专题培训内容，指导市县按照规定的内容、方式、时间、范围全面落实公告公示制度。此外，省财政厅印发《关于进一步做好扶贫资金项目公告公示问题整改工作的通知》，督促市县开展扶贫资金项目公告公示自查。省财政厅会同省扶贫办分别于7月和12月派出工作组，对17个市县公告公示制度落实情况开展现场指导。</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2.市县级方面。一是各市县均将2019年财政专项扶贫资金的分配情况在市县本级政府门户网站、财政部门及相关主管部门的门户网站、宣传栏进行了公示公告。二是各市县通过本级政府门户网站、扶贫办网站将2019年县级脱贫攻坚项目库进行公示公告。三是五指山、保亭、琼中、临高、白沙等5个贫困县在本级政府门户网站和主要媒体公告公示。</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3.乡村级方面。2019年，各市县乡村均按照有关规定，对脱贫攻坚项目库、扶贫资金项目计划及扶贫资金使用等情况进行公示。对到村到户的扶贫资金项目，全部在村委会村务公开栏进行事前公示和事后公告。各村帮扶责任人均向帮扶对象一对一告知、解释相关公告公示内容，并在组织贫困群众收看脱贫致富电视夜校时集中传达公告公示内容，提高公告公示的知晓率。为检验扶贫资金项目在村级公告公示的影响力及实效性，我省聘请第三方评价机构，采取问卷调查和入户访谈方式对项目村村民进行了调查，群众满意度较高。</w:t>
      </w:r>
    </w:p>
    <w:p>
      <w:pPr>
        <w:spacing w:line="560" w:lineRule="exact"/>
        <w:ind w:firstLine="645"/>
        <w:rPr>
          <w:rFonts w:ascii="楷体_GB2312" w:hAnsi="楷体" w:eastAsia="楷体_GB2312" w:cs="楷体"/>
          <w:color w:val="000000" w:themeColor="text1"/>
          <w:sz w:val="32"/>
          <w:szCs w:val="32"/>
        </w:rPr>
      </w:pPr>
      <w:r>
        <w:rPr>
          <w:rFonts w:hint="eastAsia" w:ascii="楷体_GB2312" w:hAnsi="楷体" w:eastAsia="楷体_GB2312" w:cs="楷体"/>
          <w:color w:val="000000" w:themeColor="text1"/>
          <w:sz w:val="32"/>
          <w:szCs w:val="32"/>
        </w:rPr>
        <w:t>（二）监督检查制度建设和执行</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1.海南省财政厅脱贫攻坚工作领导小组印发《关于印发省财政厅对照中央脱贫攻坚专项巡视反馈问题自查发现问题整改方案的通知》（琼财脱贫组〔2019〕299号，秘密件）、《关于印发2018年脱贫攻坚成效考核反馈及自查发现扶贫资金使用管理问题整改工作方案的通知》（琼财脱贫组〔2019〕412号）、《海南省财政厅关于做好2018年有关考核、审计、检查发现扶贫资金使用管理问题整改工作的通知》（秘密件），以扶贫资金问题整改为契机，加强“九查十二核”常态化监管。</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2.印发《海南省财政厅、海南省扶贫办关于认真做好扶贫资金项目公告公示问题整改工作的函》（琼财农函〔2019〕379号）、《海南省财政厅关于实行扶贫资金支出进度半月（周）报和通报约谈制度的通知》（琼财农〔2019〕209号）、《海南省财政厅关于开展财政扶贫存量资金清理工作的通知》、《海南省财政厅关于进一步加强组织化产业扶贫项目资金监管的通知》（琼财农〔2019〕952号）等文件，加强扶贫资金重点领域监管。</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3.省扶贫办印发《关于进一步完善县级脱贫攻坚项目库建设的通知》（琼扶办发〔2019〕35号）、《海南省扶贫工作办公室关于切实做好2019年县级项目库动态调整和完善项目信息的通知》，不断完善县级项目库建设。</w:t>
      </w:r>
    </w:p>
    <w:p>
      <w:pPr>
        <w:spacing w:line="560" w:lineRule="exact"/>
        <w:ind w:firstLine="645"/>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四、资金使用成效情况</w:t>
      </w:r>
    </w:p>
    <w:p>
      <w:pPr>
        <w:spacing w:line="560" w:lineRule="exact"/>
        <w:ind w:firstLine="645"/>
        <w:rPr>
          <w:rFonts w:ascii="楷体_GB2312" w:hAnsi="楷体" w:eastAsia="楷体_GB2312" w:cs="楷体"/>
          <w:color w:val="000000" w:themeColor="text1"/>
          <w:sz w:val="32"/>
          <w:szCs w:val="32"/>
        </w:rPr>
      </w:pPr>
      <w:r>
        <w:rPr>
          <w:rFonts w:hint="eastAsia" w:ascii="楷体_GB2312" w:hAnsi="楷体" w:eastAsia="楷体_GB2312" w:cs="楷体"/>
          <w:color w:val="000000" w:themeColor="text1"/>
          <w:sz w:val="32"/>
          <w:szCs w:val="32"/>
        </w:rPr>
        <w:t>（一）资金统筹整合使用成效</w:t>
      </w:r>
    </w:p>
    <w:p>
      <w:pPr>
        <w:spacing w:line="560" w:lineRule="exact"/>
        <w:ind w:firstLine="645"/>
        <w:rPr>
          <w:rFonts w:ascii="仿宋_GB2312" w:hAnsi="仿宋"/>
          <w:color w:val="000000" w:themeColor="text1"/>
          <w:sz w:val="32"/>
          <w:szCs w:val="32"/>
        </w:rPr>
      </w:pPr>
      <w:r>
        <w:rPr>
          <w:rFonts w:hint="eastAsia" w:ascii="仿宋_GB2312" w:hAnsi="仿宋"/>
          <w:color w:val="000000" w:themeColor="text1"/>
          <w:sz w:val="32"/>
          <w:szCs w:val="32"/>
        </w:rPr>
        <w:t>1.工作机制运行。一是组织专题培训。为规范开展2019年统筹整合使用财政涉农资金试点工作，省财政厅、省扶贫办联合举办一期2019年统筹整合使用财政涉农资金专题培训班，向5个贫困县财政局、扶贫办有关的工作人员详细解读统筹整合使用财政涉农资金的政策要点和工作要求。二是加强宣传报道。11月24日，《海南日报》头版A01-A02刊发《建“六个一”工作机制助力脱贫攻坚，我省支持贫困市县整合涉农资金超60亿元》；12月9日，财政部《财政扶贫工作简报》第39期刊发我省助力产业扶贫的信息稿件。三是开展专题调研。按照每个季度开展一次专题调研的要求，先后赴临高、五指山、琼中、保亭、白沙等5个贫困县开展统筹整合使用财政涉农资金试点工作专题调研，并形成调研报告呈报分管扶贫工作的省领导。省领导批示“这份调研报告情况清楚，问题明确，所提建议具体，针对性、操作性强，希望各贫困县及省直有关部门执行，以提高整合资金有效性，提高产业扶贫项目的占比和质量，提高贫困户在产业项目中的参与度，进一步建立以产业项目为主的高质量项目库，切实提高整合能力”。</w:t>
      </w:r>
    </w:p>
    <w:p>
      <w:pPr>
        <w:spacing w:line="560" w:lineRule="exact"/>
        <w:ind w:firstLine="640" w:firstLineChars="200"/>
        <w:rPr>
          <w:rFonts w:ascii="仿宋_GB2312" w:hAnsi="仿宋"/>
          <w:color w:val="000000" w:themeColor="text1"/>
          <w:sz w:val="32"/>
          <w:szCs w:val="32"/>
        </w:rPr>
      </w:pPr>
      <w:r>
        <w:rPr>
          <w:rFonts w:hint="eastAsia" w:ascii="仿宋_GB2312" w:hAnsi="仿宋"/>
          <w:color w:val="000000" w:themeColor="text1"/>
          <w:sz w:val="32"/>
          <w:szCs w:val="32"/>
        </w:rPr>
        <w:t>2.管理制度建设。一是省财政厅、省扶贫办印发《关于做好2019年贫困县涉农资金整合试点工作的通知》（琼财农〔2019〕210号），对2019年整合方案编制、整合资金管理等工作作出具体部署。二是省扶贫开发领导小组办公室印发《关于规范统筹整合涉农资金及财政专项扶贫资金使用管理有关事项的通知》（琼开办发〔2019〕19号），制定统筹整合涉农资金使用“负面清单”，明确对较困难非贫困村和农村人居环境整治项目的支持政策。三是落实</w:t>
      </w:r>
      <w:r>
        <w:rPr>
          <w:rFonts w:hint="eastAsia" w:ascii="仿宋_GB2312" w:hAnsi="仿宋" w:cs="仿宋"/>
          <w:color w:val="000000" w:themeColor="text1"/>
          <w:sz w:val="32"/>
          <w:szCs w:val="32"/>
        </w:rPr>
        <w:t>省统筹整合使用财政涉农资金联席会议制度，分别在4月和9月召开两次联席会议，</w:t>
      </w:r>
      <w:r>
        <w:rPr>
          <w:rFonts w:hint="eastAsia" w:ascii="仿宋_GB2312" w:hAnsi="仿宋_GB2312" w:cs="仿宋_GB2312"/>
          <w:color w:val="000000" w:themeColor="text1"/>
          <w:sz w:val="32"/>
          <w:szCs w:val="32"/>
        </w:rPr>
        <w:t>传达学习2019年贫困县涉农资金整合试点政策，审议五指山、白沙、临高、保亭、琼中等5个贫困县2019年涉农资金整合方案。</w:t>
      </w:r>
      <w:r>
        <w:rPr>
          <w:rFonts w:hint="eastAsia" w:ascii="仿宋_GB2312" w:hAnsi="仿宋" w:cs="仿宋"/>
          <w:color w:val="000000" w:themeColor="text1"/>
          <w:sz w:val="32"/>
          <w:szCs w:val="32"/>
        </w:rPr>
        <w:t>四是</w:t>
      </w:r>
      <w:r>
        <w:rPr>
          <w:rFonts w:hint="eastAsia" w:ascii="仿宋_GB2312" w:hAnsi="仿宋_GB2312" w:cs="仿宋_GB2312"/>
          <w:color w:val="000000" w:themeColor="text1"/>
          <w:sz w:val="32"/>
          <w:szCs w:val="32"/>
        </w:rPr>
        <w:t>省扶贫开发领导小组印发《关于报送2019年贫困县涉农资金整合情况的函》（琼扶函〔2019〕2号），向财政部、国务院扶贫办、国家发改委、国家民委、农业农村部、水利部、国家林业和草原局、交通运输部、住建部、文化和旅游部、生态环境部等11个部委报备2019年贫困县涉农资金整合资金规模、整合资金来源、整合资金投向等情况。</w:t>
      </w:r>
    </w:p>
    <w:p>
      <w:pPr>
        <w:spacing w:line="56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（二）贫困人口减少与贫困县退出情况。</w:t>
      </w:r>
    </w:p>
    <w:p>
      <w:pPr>
        <w:spacing w:line="560" w:lineRule="exact"/>
        <w:ind w:firstLine="640" w:firstLineChars="200"/>
        <w:rPr>
          <w:rFonts w:ascii="仿宋_GB2312" w:hAnsi="Arial Narrow"/>
          <w:color w:val="000000" w:themeColor="text1"/>
          <w:sz w:val="32"/>
          <w:szCs w:val="32"/>
        </w:rPr>
      </w:pPr>
      <w:r>
        <w:rPr>
          <w:rFonts w:hint="eastAsia" w:ascii="仿宋_GB2312" w:hAnsi="Arial Narrow"/>
          <w:color w:val="000000" w:themeColor="text1"/>
          <w:sz w:val="32"/>
          <w:szCs w:val="32"/>
        </w:rPr>
        <w:t>2019年度我省计划脱贫人口45000人，实际脱贫人口45002人，完成率100%。2019年度我省五指山、白沙、临高等3个市县计划摘帽退出，目前，三个贫困县已完成脱贫摘帽任务。</w:t>
      </w:r>
    </w:p>
    <w:p>
      <w:pPr>
        <w:spacing w:line="560" w:lineRule="exact"/>
        <w:ind w:firstLine="640" w:firstLineChars="200"/>
        <w:rPr>
          <w:rFonts w:ascii="仿宋_GB2312" w:hAnsi="Arial Narrow"/>
          <w:color w:val="000000" w:themeColor="text1"/>
          <w:sz w:val="32"/>
          <w:szCs w:val="32"/>
        </w:rPr>
      </w:pPr>
      <w:r>
        <w:rPr>
          <w:rFonts w:hint="eastAsia" w:ascii="楷体_GB2312" w:hAnsi="楷体" w:eastAsia="楷体_GB2312" w:cs="楷体"/>
          <w:color w:val="000000" w:themeColor="text1"/>
          <w:sz w:val="32"/>
          <w:szCs w:val="32"/>
        </w:rPr>
        <w:t>（三）资金精准使用情况。</w:t>
      </w:r>
      <w:r>
        <w:rPr>
          <w:rFonts w:hint="eastAsia" w:ascii="仿宋_GB2312" w:hAnsi="Arial Narrow"/>
          <w:color w:val="000000" w:themeColor="text1"/>
          <w:sz w:val="32"/>
          <w:szCs w:val="32"/>
        </w:rPr>
        <w:t>一是资金投向瞄准贫困户。在扶贫资金分配环节，按照贫困人口、贫困村、贫困县等因素分配资金，确保资金使用瞄准建档立卡贫困户，资金使用充分保障年度脱贫攻坚任务的完成。同时，我省开展了一期建档立卡贫困人口的全面普查和清理，及时纠正错评、漏评、错退等问题，开展数据比对核查，利用精准扶贫大数据管理平台将建档立卡数据与其他行业扶贫数据定期展开比对分析，对贫困户清退和识别进行动态管理，确保贫困户数据信息准确无误，从源头扣好资金精准使用的第一粒扣子。二是扶贫项目与脱贫成效紧密挂钩。项目立项阶段，充分考虑项目减贫带贫机制情况，对帮扶效果不明显的项目不得立项入库。项目实施阶段，以提高贫困群众参与度为抓手，积极创造条件帮助贫困户实现家门口就业，解决产业扶贫项目“一股了之”问题。项目实施后，落实扶贫资金项目公示公告制度，到村到户项目公示到自然村组，切实提高贫困群众知晓度。三是完善县级脱贫攻坚项目库建设。为进一步加强项目库建设，我省在2018年印发《关于完善县级脱贫攻坚项目库建设的实施方案》（琼脱贫指办〔2018〕31号）的基础上，2019年又印发了《县级脱贫攻坚项目库建设编制指南》，规范了项目库操作流程，项目入库做到按照村级申报、乡镇初审、市县审定、省级备案流程进行。根据审计署深圳特派办今年初对全省县级项目库建设情况的审计结果，结合各市县项目库建设现状，印发了《关于切实做好2019年县级项目库动态调整和完善项目信息的通知》，强化项目库动态调整和完善项目入库信息填报工作，对与脱贫攻坚无关项目、形象工程项目等涉及“负面清单”事项项目及时清理出库。四是加强扶贫项目资金绩效管理情况。落实《财政专项扶贫资金绩效管理操作指南（试行）》要求，建立财政专项扶贫资金（含贫困县整合涉农资金）绩效目标管理工作机制。按照项目绩效目标设定、绩效运行监控、绩效评价与结果运用四个环节，对扶贫项目预算全过程绩效进行闭环管理。做到</w:t>
      </w:r>
      <w:r>
        <w:rPr>
          <w:rFonts w:hint="eastAsia" w:ascii="仿宋_GB2312"/>
          <w:color w:val="000000" w:themeColor="text1"/>
          <w:sz w:val="32"/>
          <w:szCs w:val="32"/>
        </w:rPr>
        <w:t>2019年项目库中</w:t>
      </w:r>
      <w:r>
        <w:rPr>
          <w:rFonts w:hint="eastAsia" w:ascii="仿宋_GB2312" w:hAnsi="Arial Narrow"/>
          <w:color w:val="000000" w:themeColor="text1"/>
          <w:sz w:val="32"/>
          <w:szCs w:val="32"/>
        </w:rPr>
        <w:t>入库项目均设定绩效目标，</w:t>
      </w:r>
      <w:r>
        <w:rPr>
          <w:rFonts w:hint="eastAsia" w:ascii="仿宋_GB2312"/>
          <w:color w:val="000000" w:themeColor="text1"/>
          <w:sz w:val="32"/>
          <w:szCs w:val="32"/>
        </w:rPr>
        <w:t>2019年资金指标文件下达资金时均带绩效目标，</w:t>
      </w:r>
      <w:r>
        <w:rPr>
          <w:rFonts w:hint="eastAsia" w:ascii="仿宋_GB2312" w:hAnsi="Arial Narrow"/>
          <w:color w:val="000000" w:themeColor="text1"/>
          <w:sz w:val="32"/>
          <w:szCs w:val="32"/>
        </w:rPr>
        <w:t>并</w:t>
      </w:r>
      <w:r>
        <w:rPr>
          <w:rFonts w:hint="eastAsia" w:ascii="仿宋_GB2312"/>
          <w:color w:val="000000" w:themeColor="text1"/>
          <w:sz w:val="32"/>
          <w:szCs w:val="32"/>
        </w:rPr>
        <w:t>按照规范要求将</w:t>
      </w:r>
      <w:r>
        <w:rPr>
          <w:rFonts w:hint="eastAsia" w:ascii="仿宋_GB2312" w:hAnsi="仿宋"/>
          <w:color w:val="000000" w:themeColor="text1"/>
          <w:sz w:val="32"/>
          <w:szCs w:val="32"/>
        </w:rPr>
        <w:t>绩效目标填报纳入动态监控系统，</w:t>
      </w:r>
      <w:r>
        <w:rPr>
          <w:rFonts w:hint="eastAsia" w:ascii="仿宋_GB2312"/>
          <w:color w:val="000000" w:themeColor="text1"/>
          <w:sz w:val="32"/>
          <w:szCs w:val="32"/>
        </w:rPr>
        <w:t>预算单位开展绩效运行监控并填报绩效运行监控表。</w:t>
      </w:r>
    </w:p>
    <w:p>
      <w:pPr>
        <w:widowControl/>
        <w:spacing w:line="560" w:lineRule="exact"/>
        <w:ind w:firstLine="640" w:firstLineChars="20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五、综合评价情况及评价结论</w:t>
      </w:r>
    </w:p>
    <w:p>
      <w:pPr>
        <w:spacing w:line="560" w:lineRule="exact"/>
        <w:ind w:firstLine="640" w:firstLineChars="200"/>
        <w:rPr>
          <w:rFonts w:ascii="仿宋_GB2312" w:hAnsi="Arial Narrow"/>
          <w:color w:val="000000" w:themeColor="text1"/>
          <w:sz w:val="32"/>
          <w:szCs w:val="32"/>
        </w:rPr>
      </w:pPr>
      <w:r>
        <w:rPr>
          <w:rFonts w:hint="eastAsia" w:ascii="仿宋_GB2312" w:hAnsi="Arial Narrow"/>
          <w:color w:val="000000" w:themeColor="text1"/>
          <w:sz w:val="32"/>
          <w:szCs w:val="32"/>
        </w:rPr>
        <w:t>根据2019年我省开展的扶贫资金检查、巡视、督导以及聘请第三方机构评价结果，全省扶贫资金总体达到了精准使用要求，扶贫项目发挥了预期效益，贫困户对扶贫项目及资金使用的满意度普遍较高，综合评价优秀。</w:t>
      </w:r>
    </w:p>
    <w:p/>
    <w:p>
      <w:pPr>
        <w:widowControl/>
        <w:spacing w:line="560" w:lineRule="exact"/>
        <w:jc w:val="left"/>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auto"/>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FA"/>
    <w:rsid w:val="00071F45"/>
    <w:rsid w:val="000900FA"/>
    <w:rsid w:val="000B521D"/>
    <w:rsid w:val="000F2116"/>
    <w:rsid w:val="001463BA"/>
    <w:rsid w:val="00155F46"/>
    <w:rsid w:val="00166108"/>
    <w:rsid w:val="0017738A"/>
    <w:rsid w:val="00191E7D"/>
    <w:rsid w:val="001F725B"/>
    <w:rsid w:val="002B58DE"/>
    <w:rsid w:val="00325D5D"/>
    <w:rsid w:val="00342791"/>
    <w:rsid w:val="003E35F1"/>
    <w:rsid w:val="0041303E"/>
    <w:rsid w:val="004C4D11"/>
    <w:rsid w:val="004E43E2"/>
    <w:rsid w:val="00505603"/>
    <w:rsid w:val="0050744D"/>
    <w:rsid w:val="0051421A"/>
    <w:rsid w:val="00530401"/>
    <w:rsid w:val="00576122"/>
    <w:rsid w:val="005C153C"/>
    <w:rsid w:val="005D03C0"/>
    <w:rsid w:val="005D7781"/>
    <w:rsid w:val="005F4C2F"/>
    <w:rsid w:val="00620704"/>
    <w:rsid w:val="0062694B"/>
    <w:rsid w:val="00673BDB"/>
    <w:rsid w:val="0069321C"/>
    <w:rsid w:val="006D103D"/>
    <w:rsid w:val="006E2EBC"/>
    <w:rsid w:val="006F09F2"/>
    <w:rsid w:val="007C1534"/>
    <w:rsid w:val="007F677A"/>
    <w:rsid w:val="00823B86"/>
    <w:rsid w:val="00892B61"/>
    <w:rsid w:val="008944A6"/>
    <w:rsid w:val="008A34D7"/>
    <w:rsid w:val="008C7181"/>
    <w:rsid w:val="008E7E04"/>
    <w:rsid w:val="009C62E3"/>
    <w:rsid w:val="009D3479"/>
    <w:rsid w:val="009E4A05"/>
    <w:rsid w:val="00A17783"/>
    <w:rsid w:val="00A346EA"/>
    <w:rsid w:val="00A54CC1"/>
    <w:rsid w:val="00A90D6F"/>
    <w:rsid w:val="00AA3136"/>
    <w:rsid w:val="00AB21A8"/>
    <w:rsid w:val="00B07DE8"/>
    <w:rsid w:val="00B26CE5"/>
    <w:rsid w:val="00B314E8"/>
    <w:rsid w:val="00C0331E"/>
    <w:rsid w:val="00C15180"/>
    <w:rsid w:val="00C3281D"/>
    <w:rsid w:val="00C932B6"/>
    <w:rsid w:val="00CB408A"/>
    <w:rsid w:val="00CD527D"/>
    <w:rsid w:val="00CF14BD"/>
    <w:rsid w:val="00D17583"/>
    <w:rsid w:val="00D3137A"/>
    <w:rsid w:val="00D404D7"/>
    <w:rsid w:val="00D419AE"/>
    <w:rsid w:val="00DD0D5D"/>
    <w:rsid w:val="00EF7BDE"/>
    <w:rsid w:val="00F020D5"/>
    <w:rsid w:val="00F1555C"/>
    <w:rsid w:val="00F177F2"/>
    <w:rsid w:val="00F93156"/>
    <w:rsid w:val="32723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0"/>
    <w:pPr>
      <w:spacing w:line="360" w:lineRule="auto"/>
      <w:ind w:firstLine="420" w:firstLineChars="200"/>
    </w:pPr>
    <w:rPr>
      <w:rFonts w:ascii="Calibri" w:hAnsi="Calibri" w:eastAsia="宋体"/>
      <w:sz w:val="28"/>
      <w:szCs w:val="22"/>
    </w:rPr>
  </w:style>
  <w:style w:type="character" w:customStyle="1" w:styleId="8">
    <w:name w:val="批注框文本 Char"/>
    <w:basedOn w:val="6"/>
    <w:link w:val="2"/>
    <w:semiHidden/>
    <w:uiPriority w:val="99"/>
    <w:rPr>
      <w:rFonts w:ascii="Times New Roman" w:hAnsi="Times New Roman" w:eastAsia="仿宋_GB2312" w:cs="Times New Roman"/>
      <w:sz w:val="18"/>
      <w:szCs w:val="18"/>
    </w:rPr>
  </w:style>
  <w:style w:type="character" w:customStyle="1" w:styleId="9">
    <w:name w:val="页眉 Char"/>
    <w:basedOn w:val="6"/>
    <w:link w:val="4"/>
    <w:semiHidden/>
    <w:uiPriority w:val="99"/>
    <w:rPr>
      <w:rFonts w:ascii="Times New Roman" w:hAnsi="Times New Roman" w:eastAsia="仿宋_GB2312" w:cs="Times New Roman"/>
      <w:sz w:val="18"/>
      <w:szCs w:val="18"/>
    </w:rPr>
  </w:style>
  <w:style w:type="character" w:customStyle="1" w:styleId="10">
    <w:name w:val="页脚 Char"/>
    <w:basedOn w:val="6"/>
    <w:link w:val="3"/>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543666-EFB6-4D97-841A-6F00D5DCF0D9}">
  <ds:schemaRefs/>
</ds:datastoreItem>
</file>

<file path=docProps/app.xml><?xml version="1.0" encoding="utf-8"?>
<Properties xmlns="http://schemas.openxmlformats.org/officeDocument/2006/extended-properties" xmlns:vt="http://schemas.openxmlformats.org/officeDocument/2006/docPropsVTypes">
  <Template>Normal</Template>
  <Pages>13</Pages>
  <Words>982</Words>
  <Characters>5600</Characters>
  <Lines>46</Lines>
  <Paragraphs>13</Paragraphs>
  <TotalTime>65</TotalTime>
  <ScaleCrop>false</ScaleCrop>
  <LinksUpToDate>false</LinksUpToDate>
  <CharactersWithSpaces>6569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2020-05-27T02:27:00Z</dcterms:created>
  <dc:creator>Administrator</dc:creator>
  <cp:lastModifiedBy>Administrator</cp:lastModifiedBy>
  <cp:lastPrinted>2020-05-28T03:31:00Z</cp:lastPrinted>
  <dcterms:modified xsi:type="dcterms:W3CDTF">2021-12-13T02:05:53Z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